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E73279" w:rsidRDefault="002B4C4B" w:rsidP="00E73279">
      <w:pPr>
        <w:spacing w:line="240" w:lineRule="auto"/>
        <w:jc w:val="center"/>
        <w:rPr>
          <w:rFonts w:ascii="Times New Roman" w:hAnsi="Times New Roman" w:cs="Times New Roman"/>
          <w:b/>
          <w:sz w:val="32"/>
        </w:rPr>
      </w:pPr>
    </w:p>
    <w:p w:rsidR="002B4C4B" w:rsidRPr="00530BB8" w:rsidRDefault="002B4C4B" w:rsidP="00E73279">
      <w:pPr>
        <w:spacing w:line="240" w:lineRule="auto"/>
        <w:jc w:val="center"/>
        <w:rPr>
          <w:rFonts w:ascii="Times New Roman" w:hAnsi="Times New Roman" w:cs="Times New Roman"/>
          <w:b/>
          <w:sz w:val="40"/>
          <w:szCs w:val="40"/>
        </w:rPr>
      </w:pPr>
      <w:r w:rsidRPr="00530BB8">
        <w:rPr>
          <w:rFonts w:ascii="Times New Roman" w:hAnsi="Times New Roman" w:cs="Times New Roman"/>
          <w:b/>
          <w:sz w:val="40"/>
          <w:szCs w:val="40"/>
        </w:rPr>
        <w:t>Program hospodárskeho a sociálneho rozvoja</w:t>
      </w:r>
    </w:p>
    <w:p w:rsidR="002B4C4B" w:rsidRDefault="00530BB8" w:rsidP="00530BB8">
      <w:pPr>
        <w:spacing w:line="240" w:lineRule="auto"/>
        <w:jc w:val="center"/>
        <w:rPr>
          <w:rFonts w:ascii="Times New Roman" w:hAnsi="Times New Roman" w:cs="Times New Roman"/>
          <w:b/>
          <w:sz w:val="40"/>
          <w:szCs w:val="40"/>
        </w:rPr>
      </w:pPr>
      <w:r w:rsidRPr="00530BB8">
        <w:rPr>
          <w:rFonts w:ascii="Times New Roman" w:hAnsi="Times New Roman" w:cs="Times New Roman"/>
          <w:b/>
          <w:sz w:val="40"/>
          <w:szCs w:val="40"/>
        </w:rPr>
        <w:t>obce Jatov</w:t>
      </w:r>
    </w:p>
    <w:p w:rsidR="00530BB8" w:rsidRPr="00530BB8" w:rsidRDefault="00530BB8" w:rsidP="00530BB8">
      <w:pPr>
        <w:spacing w:line="240" w:lineRule="auto"/>
        <w:jc w:val="center"/>
        <w:rPr>
          <w:rFonts w:ascii="Times New Roman" w:hAnsi="Times New Roman" w:cs="Times New Roman"/>
          <w:b/>
          <w:sz w:val="40"/>
          <w:szCs w:val="40"/>
        </w:rPr>
      </w:pPr>
    </w:p>
    <w:p w:rsidR="00530BB8" w:rsidRPr="00E73279" w:rsidRDefault="00530BB8" w:rsidP="00530BB8">
      <w:pPr>
        <w:spacing w:line="240" w:lineRule="auto"/>
        <w:jc w:val="center"/>
        <w:rPr>
          <w:rFonts w:ascii="Times New Roman" w:hAnsi="Times New Roman" w:cs="Times New Roman"/>
          <w:b/>
          <w:sz w:val="28"/>
        </w:rPr>
      </w:pPr>
      <w:r>
        <w:rPr>
          <w:rFonts w:ascii="Times New Roman" w:hAnsi="Times New Roman" w:cs="Times New Roman"/>
          <w:b/>
          <w:noProof/>
          <w:sz w:val="28"/>
          <w:lang w:eastAsia="sk-SK"/>
        </w:rPr>
        <w:drawing>
          <wp:inline distT="0" distB="0" distL="0" distR="0">
            <wp:extent cx="1591386" cy="1830095"/>
            <wp:effectExtent l="19050" t="0" r="8814" b="0"/>
            <wp:docPr id="1" name="Obrázok 0" descr="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2.gif"/>
                    <pic:cNvPicPr/>
                  </pic:nvPicPr>
                  <pic:blipFill>
                    <a:blip r:embed="rId8">
                      <a:clrChange>
                        <a:clrFrom>
                          <a:srgbClr val="FFFFFF"/>
                        </a:clrFrom>
                        <a:clrTo>
                          <a:srgbClr val="FFFFFF">
                            <a:alpha val="0"/>
                          </a:srgbClr>
                        </a:clrTo>
                      </a:clrChange>
                    </a:blip>
                    <a:stretch>
                      <a:fillRect/>
                    </a:stretch>
                  </pic:blipFill>
                  <pic:spPr>
                    <a:xfrm>
                      <a:off x="0" y="0"/>
                      <a:ext cx="1599705" cy="1839662"/>
                    </a:xfrm>
                    <a:prstGeom prst="rect">
                      <a:avLst/>
                    </a:prstGeom>
                  </pic:spPr>
                </pic:pic>
              </a:graphicData>
            </a:graphic>
          </wp:inline>
        </w:drawing>
      </w:r>
    </w:p>
    <w:p w:rsidR="002B4C4B" w:rsidRPr="00E73279" w:rsidRDefault="002B4C4B" w:rsidP="00E73279">
      <w:pPr>
        <w:spacing w:line="240" w:lineRule="auto"/>
        <w:jc w:val="both"/>
        <w:rPr>
          <w:rFonts w:ascii="Times New Roman" w:hAnsi="Times New Roman" w:cs="Times New Roman"/>
          <w:b/>
          <w:sz w:val="28"/>
        </w:rPr>
      </w:pPr>
    </w:p>
    <w:p w:rsidR="002B4C4B" w:rsidRPr="00E73279" w:rsidRDefault="002B4C4B" w:rsidP="00E73279">
      <w:pPr>
        <w:spacing w:line="240" w:lineRule="auto"/>
        <w:jc w:val="both"/>
        <w:rPr>
          <w:rFonts w:ascii="Times New Roman" w:hAnsi="Times New Roman" w:cs="Times New Roman"/>
          <w:b/>
          <w:sz w:val="28"/>
        </w:rPr>
        <w:sectPr w:rsidR="002B4C4B" w:rsidRPr="00E73279" w:rsidSect="008B7EEC">
          <w:footerReference w:type="default" r:id="rId9"/>
          <w:pgSz w:w="11906" w:h="16838"/>
          <w:pgMar w:top="1417" w:right="1417" w:bottom="1417" w:left="1417" w:header="708" w:footer="708" w:gutter="0"/>
          <w:cols w:space="708"/>
          <w:docGrid w:linePitch="360"/>
        </w:sectPr>
      </w:pPr>
    </w:p>
    <w:p w:rsidR="002B4C4B" w:rsidRPr="00E73279" w:rsidRDefault="002B4C4B" w:rsidP="00E73279">
      <w:pPr>
        <w:spacing w:line="240" w:lineRule="auto"/>
        <w:jc w:val="both"/>
        <w:rPr>
          <w:rFonts w:ascii="Times New Roman" w:hAnsi="Times New Roman" w:cs="Times New Roman"/>
          <w:b/>
          <w:sz w:val="24"/>
          <w:szCs w:val="24"/>
        </w:rPr>
      </w:pPr>
      <w:r w:rsidRPr="00E73279">
        <w:rPr>
          <w:rFonts w:ascii="Times New Roman" w:hAnsi="Times New Roman" w:cs="Times New Roman"/>
          <w:b/>
          <w:sz w:val="24"/>
          <w:szCs w:val="24"/>
        </w:rPr>
        <w:lastRenderedPageBreak/>
        <w:t>Obsah</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 xml:space="preserve">Zámer spracovania PHSR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 xml:space="preserve">Harmonogram spracovania PHSR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 xml:space="preserve">Východiskové koncepčné dokumenty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Analytická časť</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Analýza vnútorného prostredia</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História obce</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Geografické hľadisko</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Prírodné zdroje</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Klimatické pomery</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Pôdny fond a jeho využitie</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Voda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Lesy</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Nerastné suroviny</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Chránené územia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Environmentálne záťaže</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Demografické zdroje</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Počet obyvateľov</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Demografické pohyby obyvateľstva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Migrácia obyvateľstva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Zloženie obyvateľstva podľa vierovyznania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Zloženie obyvateľstva podľa národnosti</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Zloženie obyvateľstva podľa vzdelania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Štruktúra obyvateľstva podľa produktívnosti a ekonomickej aktivity</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Ekonomicky aktívne obyvateľstvo</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Zamestnanosť/nezamestnanosť</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Zruční obyvatelia obce</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 xml:space="preserve">Administratívne kapacity obce </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Sociálna infraštruktúra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Školská infraštruktúra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Zdravotnícka infraštruktúra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Sociálna infraštruktúra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Kultúrna infraštruktúra</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Priestory občianskej vybavenosti</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Kultúrny a spoločenský život</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Mimovládny sektor</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Podnikateľské prostredie</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Materiálne zdroje</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Stav vysporiadania vlastníckych vzťahov</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Stav územnoplánovacej dokumentácie a PHSR</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Infraštruktúra obce</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Domový a bytový fond</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Majetok obce</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Investičné aktivity za posledných 5 rokov</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Plánované investičné aktivity</w:t>
      </w:r>
    </w:p>
    <w:p w:rsidR="002B4C4B" w:rsidRPr="00E73279" w:rsidRDefault="002B4C4B" w:rsidP="00C119AA">
      <w:pPr>
        <w:pStyle w:val="Bezriadkovania"/>
        <w:numPr>
          <w:ilvl w:val="3"/>
          <w:numId w:val="2"/>
        </w:numPr>
        <w:rPr>
          <w:rFonts w:ascii="Times New Roman" w:hAnsi="Times New Roman" w:cs="Times New Roman"/>
          <w:sz w:val="24"/>
          <w:szCs w:val="24"/>
        </w:rPr>
      </w:pPr>
      <w:r w:rsidRPr="00E73279">
        <w:rPr>
          <w:rFonts w:ascii="Times New Roman" w:hAnsi="Times New Roman" w:cs="Times New Roman"/>
          <w:sz w:val="24"/>
          <w:szCs w:val="24"/>
        </w:rPr>
        <w:t>Zoznam voľných hospodárskych budov na území obce</w:t>
      </w:r>
    </w:p>
    <w:p w:rsidR="002B4C4B" w:rsidRPr="00E73279" w:rsidRDefault="002B4C4B" w:rsidP="00C119AA">
      <w:pPr>
        <w:pStyle w:val="Bezriadkovania"/>
        <w:numPr>
          <w:ilvl w:val="2"/>
          <w:numId w:val="2"/>
        </w:numPr>
        <w:ind w:left="1418" w:hanging="709"/>
        <w:rPr>
          <w:rFonts w:ascii="Times New Roman" w:hAnsi="Times New Roman" w:cs="Times New Roman"/>
          <w:sz w:val="24"/>
          <w:szCs w:val="24"/>
        </w:rPr>
      </w:pPr>
      <w:r w:rsidRPr="00E73279">
        <w:rPr>
          <w:rFonts w:ascii="Times New Roman" w:hAnsi="Times New Roman" w:cs="Times New Roman"/>
          <w:sz w:val="24"/>
          <w:szCs w:val="24"/>
        </w:rPr>
        <w:t>Cestovný ruch</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 xml:space="preserve">Analýza vonkajšieho prostredia </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SWOT</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 xml:space="preserve">Zhodnotenie hlavných disparít a faktorov rozvoja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lastRenderedPageBreak/>
        <w:t>Strategická časť</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Vízia rozvoja územia obce Šurianky</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 xml:space="preserve">Strategický cieľ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Programová časť</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Opatrenia a projekty vrátane ich priradenia k jednotlivým prioritám</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 xml:space="preserve">Súbor ukazovateľov výsledkov a dosahov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Realizačná časť</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Východiská a popis úloh jednotlivých partnerov pri realizácii</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Popis postupov organizačného a inštitucionálneho zabezpečenia realizácie PHSR</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Stručný popis komunikačnej stratégie</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Systém monitorovania a hodnotenia</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 xml:space="preserve">Akčný plán na obdobie dvoch rokov </w:t>
      </w:r>
    </w:p>
    <w:p w:rsidR="002B4C4B" w:rsidRPr="00E73279" w:rsidRDefault="002B4C4B" w:rsidP="00C119AA">
      <w:pPr>
        <w:pStyle w:val="Bezriadkovania"/>
        <w:numPr>
          <w:ilvl w:val="0"/>
          <w:numId w:val="2"/>
        </w:numPr>
        <w:rPr>
          <w:rFonts w:ascii="Times New Roman" w:hAnsi="Times New Roman" w:cs="Times New Roman"/>
          <w:sz w:val="24"/>
          <w:szCs w:val="24"/>
        </w:rPr>
      </w:pPr>
      <w:r w:rsidRPr="00E73279">
        <w:rPr>
          <w:rFonts w:ascii="Times New Roman" w:hAnsi="Times New Roman" w:cs="Times New Roman"/>
          <w:sz w:val="24"/>
          <w:szCs w:val="24"/>
        </w:rPr>
        <w:t>Finančná časť</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Indikatívny finančný plán na celú realizáciu PHSR</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Model viaczdrojového financovania jednotlivých projektov</w:t>
      </w:r>
    </w:p>
    <w:p w:rsidR="002B4C4B" w:rsidRPr="00E73279" w:rsidRDefault="002B4C4B" w:rsidP="00C119AA">
      <w:pPr>
        <w:pStyle w:val="Bezriadkovania"/>
        <w:numPr>
          <w:ilvl w:val="1"/>
          <w:numId w:val="2"/>
        </w:numPr>
        <w:rPr>
          <w:rFonts w:ascii="Times New Roman" w:hAnsi="Times New Roman" w:cs="Times New Roman"/>
          <w:sz w:val="24"/>
          <w:szCs w:val="24"/>
        </w:rPr>
      </w:pPr>
      <w:r w:rsidRPr="00E73279">
        <w:rPr>
          <w:rFonts w:ascii="Times New Roman" w:hAnsi="Times New Roman" w:cs="Times New Roman"/>
          <w:sz w:val="24"/>
          <w:szCs w:val="24"/>
        </w:rPr>
        <w:t xml:space="preserve">Systém hodnotenia a zaraďovania projektov do financovania </w:t>
      </w:r>
    </w:p>
    <w:p w:rsidR="002B4C4B" w:rsidRPr="00E73279" w:rsidRDefault="002B4C4B" w:rsidP="00E73279">
      <w:pPr>
        <w:pStyle w:val="Bezriadkovania"/>
        <w:rPr>
          <w:rFonts w:ascii="Times New Roman" w:hAnsi="Times New Roman" w:cs="Times New Roman"/>
          <w:sz w:val="24"/>
          <w:szCs w:val="24"/>
        </w:rPr>
      </w:pPr>
      <w:r w:rsidRPr="00E73279">
        <w:rPr>
          <w:rFonts w:ascii="Times New Roman" w:hAnsi="Times New Roman" w:cs="Times New Roman"/>
          <w:sz w:val="24"/>
          <w:szCs w:val="24"/>
        </w:rPr>
        <w:t xml:space="preserve">Záverečná časť </w:t>
      </w:r>
    </w:p>
    <w:p w:rsidR="002B4C4B" w:rsidRPr="00E73279" w:rsidRDefault="002B4C4B" w:rsidP="00E73279">
      <w:pPr>
        <w:pStyle w:val="Bezriadkovania"/>
        <w:rPr>
          <w:rFonts w:ascii="Times New Roman" w:hAnsi="Times New Roman" w:cs="Times New Roman"/>
          <w:sz w:val="24"/>
          <w:szCs w:val="24"/>
        </w:rPr>
      </w:pPr>
      <w:r w:rsidRPr="00E73279">
        <w:rPr>
          <w:rFonts w:ascii="Times New Roman" w:hAnsi="Times New Roman" w:cs="Times New Roman"/>
          <w:sz w:val="24"/>
          <w:szCs w:val="24"/>
        </w:rPr>
        <w:t>Prílohy</w:t>
      </w:r>
    </w:p>
    <w:p w:rsidR="002B4C4B" w:rsidRPr="00E73279" w:rsidRDefault="002B4C4B" w:rsidP="00E73279">
      <w:pPr>
        <w:spacing w:line="240" w:lineRule="auto"/>
        <w:jc w:val="both"/>
        <w:rPr>
          <w:rFonts w:ascii="Times New Roman" w:hAnsi="Times New Roman" w:cs="Times New Roman"/>
          <w:sz w:val="24"/>
          <w:szCs w:val="24"/>
        </w:rPr>
        <w:sectPr w:rsidR="002B4C4B" w:rsidRPr="00E73279" w:rsidSect="00530BB8">
          <w:footerReference w:type="default" r:id="rId10"/>
          <w:pgSz w:w="11906" w:h="16838"/>
          <w:pgMar w:top="1417" w:right="1417" w:bottom="1417" w:left="1417" w:header="708" w:footer="708" w:gutter="0"/>
          <w:pgNumType w:start="2"/>
          <w:cols w:space="708"/>
          <w:docGrid w:linePitch="360"/>
        </w:sectPr>
      </w:pPr>
    </w:p>
    <w:p w:rsidR="002B4C4B" w:rsidRPr="00E73279" w:rsidRDefault="002B4C4B" w:rsidP="00E73279">
      <w:pPr>
        <w:spacing w:line="240" w:lineRule="auto"/>
        <w:jc w:val="both"/>
        <w:rPr>
          <w:rFonts w:ascii="Times New Roman" w:hAnsi="Times New Roman" w:cs="Times New Roman"/>
          <w:b/>
          <w:sz w:val="28"/>
          <w:szCs w:val="24"/>
        </w:rPr>
      </w:pPr>
      <w:r w:rsidRPr="00E73279">
        <w:rPr>
          <w:rFonts w:ascii="Times New Roman" w:hAnsi="Times New Roman" w:cs="Times New Roman"/>
          <w:b/>
          <w:sz w:val="28"/>
          <w:szCs w:val="24"/>
        </w:rPr>
        <w:lastRenderedPageBreak/>
        <w:t>Úvod</w:t>
      </w:r>
    </w:p>
    <w:p w:rsidR="002A5F5E" w:rsidRPr="00C21B41" w:rsidRDefault="002A5F5E" w:rsidP="002A5F5E">
      <w:pPr>
        <w:spacing w:line="240" w:lineRule="auto"/>
        <w:jc w:val="both"/>
        <w:rPr>
          <w:rFonts w:ascii="Times New Roman" w:hAnsi="Times New Roman" w:cs="Times New Roman"/>
          <w:sz w:val="24"/>
          <w:szCs w:val="28"/>
        </w:rPr>
      </w:pPr>
      <w:r w:rsidRPr="00C21B41">
        <w:rPr>
          <w:rFonts w:ascii="Times New Roman" w:hAnsi="Times New Roman" w:cs="Times New Roman"/>
          <w:sz w:val="24"/>
          <w:szCs w:val="28"/>
        </w:rPr>
        <w:t>Posledná dekáda 20. Storočia až po súčasnosť je poznačená kumuláciou procesov, ktoré výrazne predznamenali dynamiku a charakter premien spoločensko-politických, hospodárskych, sociálnych, sociálno-kultúrnych s celou škálou pozitívnych ale aj problémových dopadov na spoločnosť i jednotlivé spoločenstvá na Slovensku. Významné sú nadnárodné súvislosti prebiehajúcich procesov, keďže sa netýkajú len jednej krajiny, ale sú súčasťou priestorovo širších premien, ktoré majú významné, prinajmenšom európske súvislosti. Premieta sa to, resp. Odráža v európskych integračných procesoch, v hľadaní podôb štátnych i spoločných európskych postupov, pri riešení problémov, pri usmerňovaní vývojových procesov, pri hľadaní spoločných či koordinovaných politík.</w:t>
      </w:r>
    </w:p>
    <w:p w:rsidR="002A5F5E" w:rsidRPr="00C21B41" w:rsidRDefault="002A5F5E" w:rsidP="002A5F5E">
      <w:pPr>
        <w:spacing w:line="240" w:lineRule="auto"/>
        <w:jc w:val="both"/>
        <w:rPr>
          <w:rFonts w:ascii="Times New Roman" w:hAnsi="Times New Roman" w:cs="Times New Roman"/>
          <w:sz w:val="24"/>
          <w:szCs w:val="28"/>
        </w:rPr>
      </w:pPr>
      <w:r w:rsidRPr="00C21B41">
        <w:rPr>
          <w:rFonts w:ascii="Times New Roman" w:hAnsi="Times New Roman" w:cs="Times New Roman"/>
          <w:sz w:val="24"/>
          <w:szCs w:val="28"/>
        </w:rPr>
        <w:t>Program hospodárskeho a sociálneho rozvoja je základným dokumentom, ktorým si mesto pri výkone svojej činnosti zabezpečuje rozvoj svojho územia a stará sa o potreby obyvateľov.</w:t>
      </w:r>
    </w:p>
    <w:p w:rsidR="002A5F5E" w:rsidRDefault="002A5F5E" w:rsidP="002A5F5E">
      <w:pPr>
        <w:spacing w:line="240" w:lineRule="auto"/>
        <w:jc w:val="both"/>
        <w:rPr>
          <w:rFonts w:ascii="Times New Roman" w:hAnsi="Times New Roman" w:cs="Times New Roman"/>
          <w:sz w:val="24"/>
          <w:szCs w:val="28"/>
        </w:rPr>
      </w:pPr>
      <w:r w:rsidRPr="008468CA">
        <w:rPr>
          <w:rFonts w:ascii="Times New Roman" w:hAnsi="Times New Roman" w:cs="Times New Roman"/>
          <w:sz w:val="24"/>
          <w:szCs w:val="28"/>
        </w:rPr>
        <w:t>Je to strednodobý programový dokument, ktorý bol spracovaný na základe zákona č. 539/2008 Z. z. o podpore regionálneho rozvoja v znení zákona č. 309/2014 Z. z. Pri spracovávaní boli rešpektované zásady regionálnej politiky vlády Slovenskej republiky a princípy regionálnej politiky Európskej únie zakotvené najmä v nariadeniach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a v zmysle delegovaného  nariadenia Komisie (EÚ) č. 480/2014 z 3. marca 2014.</w:t>
      </w:r>
    </w:p>
    <w:p w:rsidR="002A5F5E" w:rsidRPr="00C21B41" w:rsidRDefault="002A5F5E" w:rsidP="002A5F5E">
      <w:pPr>
        <w:spacing w:line="240" w:lineRule="auto"/>
        <w:jc w:val="both"/>
        <w:rPr>
          <w:rFonts w:ascii="Times New Roman" w:hAnsi="Times New Roman" w:cs="Times New Roman"/>
          <w:sz w:val="24"/>
          <w:szCs w:val="28"/>
        </w:rPr>
      </w:pPr>
      <w:r w:rsidRPr="00C21B41">
        <w:rPr>
          <w:rFonts w:ascii="Times New Roman" w:hAnsi="Times New Roman" w:cs="Times New Roman"/>
          <w:sz w:val="24"/>
          <w:szCs w:val="28"/>
        </w:rPr>
        <w:t>Program je komplexným dokumentom, integrujúcim otázky rozvoja fyzických štruktúr so sociálnymi, ekonomickými a ďalšími aspektami. Preto má voči ostatným plánovacím dokumentom spracovaným na miestnej úrovni zastrešujúcu funkciu. Na rozdiel od územného plánu, ktorý rieši najmä otázky fyzického rozvoja územia (lokalizáciu zástavby a priestorové regulatívy pre stavebný rozvoj, funkčné využitie rozvojových plôch), program rozvoja sa podrobnejšie zaoberá otázkami ekonomického a sociálneho rozvoja, čím vo vzťahu k územnému plánu plní komplementárnu funkciu.</w:t>
      </w:r>
    </w:p>
    <w:p w:rsidR="002A5F5E" w:rsidRPr="00C21B41" w:rsidRDefault="002A5F5E" w:rsidP="002A5F5E">
      <w:pPr>
        <w:spacing w:line="240" w:lineRule="auto"/>
        <w:jc w:val="both"/>
        <w:rPr>
          <w:rFonts w:ascii="Times New Roman" w:hAnsi="Times New Roman" w:cs="Times New Roman"/>
          <w:sz w:val="24"/>
          <w:szCs w:val="28"/>
        </w:rPr>
      </w:pPr>
      <w:r w:rsidRPr="00C21B41">
        <w:rPr>
          <w:rFonts w:ascii="Times New Roman" w:hAnsi="Times New Roman" w:cs="Times New Roman"/>
          <w:sz w:val="24"/>
          <w:szCs w:val="28"/>
        </w:rPr>
        <w:t xml:space="preserve">Aj napriek komplexnosti programu rozvoja nie je cieľom vyčerpávajúco obsiahnuť všetky problémy a nájsť na </w:t>
      </w:r>
      <w:proofErr w:type="spellStart"/>
      <w:r w:rsidRPr="00C21B41">
        <w:rPr>
          <w:rFonts w:ascii="Times New Roman" w:hAnsi="Times New Roman" w:cs="Times New Roman"/>
          <w:sz w:val="24"/>
          <w:szCs w:val="28"/>
        </w:rPr>
        <w:t>ne</w:t>
      </w:r>
      <w:proofErr w:type="spellEnd"/>
      <w:r w:rsidRPr="00C21B41">
        <w:rPr>
          <w:rFonts w:ascii="Times New Roman" w:hAnsi="Times New Roman" w:cs="Times New Roman"/>
          <w:sz w:val="24"/>
          <w:szCs w:val="28"/>
        </w:rPr>
        <w:t xml:space="preserve"> riešenie.</w:t>
      </w:r>
    </w:p>
    <w:p w:rsidR="002A5F5E" w:rsidRPr="00C21B41" w:rsidRDefault="002A5F5E" w:rsidP="002A5F5E">
      <w:pPr>
        <w:spacing w:line="240" w:lineRule="auto"/>
        <w:jc w:val="both"/>
        <w:rPr>
          <w:rFonts w:ascii="Times New Roman" w:hAnsi="Times New Roman" w:cs="Times New Roman"/>
          <w:sz w:val="24"/>
          <w:szCs w:val="28"/>
        </w:rPr>
      </w:pPr>
      <w:r w:rsidRPr="00C21B41">
        <w:rPr>
          <w:rFonts w:ascii="Times New Roman" w:hAnsi="Times New Roman" w:cs="Times New Roman"/>
          <w:sz w:val="24"/>
          <w:szCs w:val="28"/>
        </w:rPr>
        <w:t>Program hospodárskeho a sociálneho rozvoja mesta Šurany je v súlade s cieľmi a prioritami ustanovenými v Národnom rozvojovom pláne a s metodikou na vypracovanie príslušného PHSR pre obce a mestá. </w:t>
      </w:r>
    </w:p>
    <w:p w:rsidR="002B4C4B" w:rsidRDefault="002B4C4B" w:rsidP="00E73279">
      <w:pPr>
        <w:spacing w:line="240" w:lineRule="auto"/>
        <w:jc w:val="both"/>
        <w:rPr>
          <w:rFonts w:ascii="Times New Roman" w:hAnsi="Times New Roman" w:cs="Times New Roman"/>
          <w:b/>
          <w:sz w:val="28"/>
        </w:rPr>
      </w:pPr>
    </w:p>
    <w:p w:rsidR="00530BB8" w:rsidRDefault="00530BB8" w:rsidP="00E73279">
      <w:pPr>
        <w:spacing w:line="240" w:lineRule="auto"/>
        <w:jc w:val="both"/>
        <w:rPr>
          <w:rFonts w:ascii="Times New Roman" w:hAnsi="Times New Roman" w:cs="Times New Roman"/>
          <w:b/>
          <w:sz w:val="28"/>
        </w:rPr>
      </w:pPr>
    </w:p>
    <w:p w:rsidR="002B4C4B" w:rsidRPr="00E73279" w:rsidRDefault="002B4C4B" w:rsidP="00C119AA">
      <w:pPr>
        <w:pStyle w:val="Odsekzoznamu"/>
        <w:numPr>
          <w:ilvl w:val="0"/>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Zámer spracovania</w:t>
      </w:r>
    </w:p>
    <w:p w:rsidR="002A5F5E" w:rsidRPr="002A5F5E" w:rsidRDefault="002A5F5E" w:rsidP="002A5F5E">
      <w:pPr>
        <w:spacing w:line="240" w:lineRule="auto"/>
        <w:jc w:val="both"/>
        <w:rPr>
          <w:rFonts w:ascii="Times New Roman" w:hAnsi="Times New Roman" w:cs="Times New Roman"/>
          <w:sz w:val="24"/>
          <w:szCs w:val="28"/>
        </w:rPr>
      </w:pPr>
      <w:r w:rsidRPr="002A5F5E">
        <w:rPr>
          <w:rFonts w:ascii="Times New Roman" w:hAnsi="Times New Roman" w:cs="Times New Roman"/>
          <w:sz w:val="24"/>
          <w:szCs w:val="28"/>
        </w:rPr>
        <w:t xml:space="preserve">Hlavným zámerom spracovania programu hospodárskeho a sociálneho rozvoja je vízia progresívneho mesta, ktorého hlavným cieľom je v čo najväčšej miere uspokojovať potreby občanov, umožňovať rozvoj podnikateľských aktivít a cestovného ruchu na území mesta a v čo </w:t>
      </w:r>
      <w:r w:rsidRPr="002A5F5E">
        <w:rPr>
          <w:rFonts w:ascii="Times New Roman" w:hAnsi="Times New Roman" w:cs="Times New Roman"/>
          <w:sz w:val="24"/>
          <w:szCs w:val="28"/>
        </w:rPr>
        <w:lastRenderedPageBreak/>
        <w:t>najväčšej miere využívať výhodnú geografickú polohu za podmienok trvalo udržateľného rozvoja.</w:t>
      </w:r>
    </w:p>
    <w:p w:rsidR="00E73279" w:rsidRPr="00E73279" w:rsidRDefault="00E73279" w:rsidP="00E73279">
      <w:pPr>
        <w:spacing w:line="240" w:lineRule="auto"/>
        <w:jc w:val="both"/>
        <w:rPr>
          <w:rFonts w:ascii="Times New Roman" w:hAnsi="Times New Roman" w:cs="Times New Roman"/>
          <w:b/>
          <w:sz w:val="28"/>
        </w:rPr>
      </w:pPr>
    </w:p>
    <w:p w:rsidR="002B4C4B" w:rsidRPr="00E73279" w:rsidRDefault="002B4C4B" w:rsidP="00C119AA">
      <w:pPr>
        <w:pStyle w:val="Odsekzoznamu"/>
        <w:numPr>
          <w:ilvl w:val="0"/>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Harmonogram spracovania PHSR</w:t>
      </w:r>
    </w:p>
    <w:p w:rsidR="002B4C4B" w:rsidRPr="00E73279" w:rsidRDefault="002B4C4B" w:rsidP="00E73279">
      <w:pPr>
        <w:spacing w:line="240" w:lineRule="auto"/>
        <w:jc w:val="both"/>
        <w:rPr>
          <w:rFonts w:ascii="Times New Roman" w:hAnsi="Times New Roman" w:cs="Times New Roman"/>
          <w:sz w:val="24"/>
        </w:rPr>
      </w:pPr>
    </w:p>
    <w:p w:rsidR="002B4C4B" w:rsidRPr="00E73279" w:rsidRDefault="002B4C4B" w:rsidP="00C119AA">
      <w:pPr>
        <w:pStyle w:val="Odsekzoznamu"/>
        <w:numPr>
          <w:ilvl w:val="0"/>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Východiskové koncepčné dokumenty</w:t>
      </w:r>
    </w:p>
    <w:p w:rsidR="002B4C4B" w:rsidRPr="00E73279" w:rsidRDefault="002B4C4B" w:rsidP="00C119AA">
      <w:pPr>
        <w:pStyle w:val="Odsekzoznamu"/>
        <w:numPr>
          <w:ilvl w:val="0"/>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Analytická časť</w:t>
      </w:r>
    </w:p>
    <w:p w:rsidR="002B4C4B" w:rsidRPr="00E73279" w:rsidRDefault="002B4C4B" w:rsidP="00C119AA">
      <w:pPr>
        <w:pStyle w:val="Odsekzoznamu"/>
        <w:numPr>
          <w:ilvl w:val="1"/>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Analýza vnútorného prostredia</w:t>
      </w:r>
    </w:p>
    <w:p w:rsidR="002B4C4B" w:rsidRPr="00E73279" w:rsidRDefault="002B4C4B" w:rsidP="00C119AA">
      <w:pPr>
        <w:pStyle w:val="Odsekzoznamu"/>
        <w:numPr>
          <w:ilvl w:val="2"/>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História</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Prví osadníci prišli do oblasti Jatova ešte v staršej dobe bronzovej. V polohe Železničná zastávka Dolný Jatov založili nositelia </w:t>
      </w:r>
      <w:proofErr w:type="spellStart"/>
      <w:r w:rsidRPr="00E73279">
        <w:rPr>
          <w:rFonts w:ascii="Times New Roman" w:hAnsi="Times New Roman" w:cs="Times New Roman"/>
          <w:sz w:val="24"/>
        </w:rPr>
        <w:t>maďarovskej</w:t>
      </w:r>
      <w:proofErr w:type="spellEnd"/>
      <w:r w:rsidRPr="00E73279">
        <w:rPr>
          <w:rFonts w:ascii="Times New Roman" w:hAnsi="Times New Roman" w:cs="Times New Roman"/>
          <w:sz w:val="24"/>
        </w:rPr>
        <w:t xml:space="preserve"> kultúry roľnícke sídlisko. Po vyše tisícročí sa v severovýchodnej časti chotára v polohe Čierny vŕšok usadili Kelti, predstavitelia laténskej kultúry z mladšej doby železnej. Systematické osídlenie rôznych častí chotára začína od 9. storočia a trvá s menšími prestávkami až do súčasnosti - poloha Čierny vŕšok, </w:t>
      </w:r>
      <w:proofErr w:type="spellStart"/>
      <w:r w:rsidRPr="00E73279">
        <w:rPr>
          <w:rFonts w:ascii="Times New Roman" w:hAnsi="Times New Roman" w:cs="Times New Roman"/>
          <w:sz w:val="24"/>
        </w:rPr>
        <w:t>Kendereš</w:t>
      </w:r>
      <w:proofErr w:type="spellEnd"/>
      <w:r w:rsidRPr="00E73279">
        <w:rPr>
          <w:rFonts w:ascii="Times New Roman" w:hAnsi="Times New Roman" w:cs="Times New Roman"/>
          <w:sz w:val="24"/>
        </w:rPr>
        <w:t xml:space="preserve">, Konopné, </w:t>
      </w:r>
      <w:proofErr w:type="spellStart"/>
      <w:r w:rsidRPr="00E73279">
        <w:rPr>
          <w:rFonts w:ascii="Times New Roman" w:hAnsi="Times New Roman" w:cs="Times New Roman"/>
          <w:sz w:val="24"/>
        </w:rPr>
        <w:t>Kesovské</w:t>
      </w:r>
      <w:proofErr w:type="spellEnd"/>
      <w:r w:rsidRPr="00E73279">
        <w:rPr>
          <w:rFonts w:ascii="Times New Roman" w:hAnsi="Times New Roman" w:cs="Times New Roman"/>
          <w:sz w:val="24"/>
        </w:rPr>
        <w:t xml:space="preserve">, Obec č. p. 6, Malý Jatov I, II a poloha bez udania názvu. Chotár Jatova bol nepretržite osídlený od 9. po 14. storočie. Dokazuje to množstvo archeologických nálezísk v rôznych častiach katastra obce. V 9. storočí sa dve skupiny obyvateľstva slovanského pôvodu usadili nezávisle od seba na dvoch miestach v blízkosti potokov tečúcich v okolí Jatova. Jedna skupina založila osadu na ľavom brehu potoka Trnovec v dnešnej polohe </w:t>
      </w:r>
      <w:proofErr w:type="spellStart"/>
      <w:r w:rsidRPr="00E73279">
        <w:rPr>
          <w:rFonts w:ascii="Times New Roman" w:hAnsi="Times New Roman" w:cs="Times New Roman"/>
          <w:sz w:val="24"/>
        </w:rPr>
        <w:t>Kendereš</w:t>
      </w:r>
      <w:proofErr w:type="spellEnd"/>
      <w:r w:rsidRPr="00E73279">
        <w:rPr>
          <w:rFonts w:ascii="Times New Roman" w:hAnsi="Times New Roman" w:cs="Times New Roman"/>
          <w:sz w:val="24"/>
        </w:rPr>
        <w:t xml:space="preserve"> a druhá skupina si vybrala za miesto na založenie sídliska piesočné a sprašové vyvýšeniny na ľavom brehu Dlhého kanála - poloha Pri </w:t>
      </w:r>
      <w:proofErr w:type="spellStart"/>
      <w:r w:rsidRPr="00E73279">
        <w:rPr>
          <w:rFonts w:ascii="Times New Roman" w:hAnsi="Times New Roman" w:cs="Times New Roman"/>
          <w:sz w:val="24"/>
        </w:rPr>
        <w:t>čatorni</w:t>
      </w:r>
      <w:proofErr w:type="spellEnd"/>
      <w:r w:rsidRPr="00E73279">
        <w:rPr>
          <w:rFonts w:ascii="Times New Roman" w:hAnsi="Times New Roman" w:cs="Times New Roman"/>
          <w:sz w:val="24"/>
        </w:rPr>
        <w:t>.</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Až do roku 1848 bol Jatov súčasťou Nitrianskej stolice a patril do Nitrianskeho </w:t>
      </w:r>
      <w:proofErr w:type="spellStart"/>
      <w:r w:rsidRPr="00E73279">
        <w:rPr>
          <w:rFonts w:ascii="Times New Roman" w:hAnsi="Times New Roman" w:cs="Times New Roman"/>
          <w:sz w:val="24"/>
        </w:rPr>
        <w:t>slúžnovského</w:t>
      </w:r>
      <w:proofErr w:type="spellEnd"/>
      <w:r w:rsidRPr="00E73279">
        <w:rPr>
          <w:rFonts w:ascii="Times New Roman" w:hAnsi="Times New Roman" w:cs="Times New Roman"/>
          <w:sz w:val="24"/>
        </w:rPr>
        <w:t xml:space="preserve"> okresu. V rokoch 1850 - 1860 bol včlenený do </w:t>
      </w:r>
      <w:proofErr w:type="spellStart"/>
      <w:r w:rsidRPr="00E73279">
        <w:rPr>
          <w:rFonts w:ascii="Times New Roman" w:hAnsi="Times New Roman" w:cs="Times New Roman"/>
          <w:sz w:val="24"/>
        </w:rPr>
        <w:t>Dolnonitrianskej</w:t>
      </w:r>
      <w:proofErr w:type="spellEnd"/>
      <w:r w:rsidRPr="00E73279">
        <w:rPr>
          <w:rFonts w:ascii="Times New Roman" w:hAnsi="Times New Roman" w:cs="Times New Roman"/>
          <w:sz w:val="24"/>
        </w:rPr>
        <w:t xml:space="preserve"> stolice. Neskôr od roku 1867 sa stal súčasťou Nitrianskej župy (do roku 1922). Zo štyroch osád, ktoré sa postupne vyvinuli na území chotára dnešnej obce Jatov, zohral hlavnú úlohu v premenách času Dolný Jatov. Cez obec viedla cesta spájajúca lokálne Nové Zámky so Šaľou. V stredoveku sa táto komunikácia nazývala Českou cestou. Spájala centrum Uhorského kráľovstva - Budín s metropolou Čiech - Prahou.</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Pre novodobé dejiny obce Jatov má najväčší význam jej osamostatnenie v roku 1952. Stala sa tak najmladšou obcou Novozámockého okresu. Obec vznikla odčlenením štyroch osád - Dolný Jatov, Malý Jatov, Čierny vŕšok a </w:t>
      </w:r>
      <w:proofErr w:type="spellStart"/>
      <w:r w:rsidRPr="00E73279">
        <w:rPr>
          <w:rFonts w:ascii="Times New Roman" w:hAnsi="Times New Roman" w:cs="Times New Roman"/>
          <w:sz w:val="24"/>
        </w:rPr>
        <w:t>Kendereš</w:t>
      </w:r>
      <w:proofErr w:type="spellEnd"/>
      <w:r w:rsidRPr="00E73279">
        <w:rPr>
          <w:rFonts w:ascii="Times New Roman" w:hAnsi="Times New Roman" w:cs="Times New Roman"/>
          <w:sz w:val="24"/>
        </w:rPr>
        <w:t xml:space="preserve"> od Tvrdošoviec. Nastúpila na cestu postupnej modernizácie infraštruktúry, rozvoja a výstavby. Zvýšila sa vzdelanostná, kultúrna a ekonomická úroveň obyvateľstva. Jatov bol v rokoch 1949 -1960 začlenený do Novozámockého okresu a Nitrianskeho kraja, od roku 1960 do Západoslovenského kraja. Prípravný výbor Miestneho národného výboru vznikol už 24.4.1951. Predsedom historicky prvého miestneho národného výboru už samostatnej obce sa vo februári 1952 stal Štefan Varga st., podpredsedom Ján Markovič. V 50. rokoch 20. storočia došlo k pomerne častému striedaniu osôb na poste predsedu a tajomníka MNV. V roku 1978 sa vtedajší národný výbor presťahoval do novopostaveného objektu, kde sídli dodnes. Obecný rozhlas bol zavedený v roku 1972.</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V druhej polovici 20. storočia značne pokročila výstavba rodinných domov, pričom výrazný bol aj prírastok obyvateľstva. Priaznivý demografický vývoj súvisel aj s </w:t>
      </w:r>
      <w:proofErr w:type="spellStart"/>
      <w:r w:rsidRPr="00E73279">
        <w:rPr>
          <w:rFonts w:ascii="Times New Roman" w:hAnsi="Times New Roman" w:cs="Times New Roman"/>
          <w:sz w:val="24"/>
        </w:rPr>
        <w:t>optimálnejšími</w:t>
      </w:r>
      <w:proofErr w:type="spellEnd"/>
      <w:r w:rsidRPr="00E73279">
        <w:rPr>
          <w:rFonts w:ascii="Times New Roman" w:hAnsi="Times New Roman" w:cs="Times New Roman"/>
          <w:sz w:val="24"/>
        </w:rPr>
        <w:t xml:space="preserve"> ekonomickými faktormi. Rokom 1990 nastáva nová etapa aj v živote občanov Jatova. Po nežnej revolúcii v novembri 1989 padla vláda jednej strany - komunistickej, nastala demokratizácia </w:t>
      </w:r>
      <w:r w:rsidRPr="00E73279">
        <w:rPr>
          <w:rFonts w:ascii="Times New Roman" w:hAnsi="Times New Roman" w:cs="Times New Roman"/>
          <w:sz w:val="24"/>
        </w:rPr>
        <w:lastRenderedPageBreak/>
        <w:t xml:space="preserve">spoločnosti. Občania sa svojou účasťou vo voľbách do národných a samosprávnych orgánov zúčastňujú priamo na verejnom živote. Obecná samospráva bola obnovená 1.1.1991. Prvý január 1993 bol začiatkom novej histórie mladého štátu Slovenskej republiky. Jej zrod uvítali aj občania Jatova. V dňoch 30.9. - 1.10.1994 sa konali predčasné voľby do Národnej rady SR. Prvá historická priama voľba prezidenta SR sa uskutočnila 29.5.1999. Od 1.1.1997 nadobudol platnosť zákon o novom </w:t>
      </w:r>
      <w:proofErr w:type="spellStart"/>
      <w:r w:rsidRPr="00E73279">
        <w:rPr>
          <w:rFonts w:ascii="Times New Roman" w:hAnsi="Times New Roman" w:cs="Times New Roman"/>
          <w:sz w:val="24"/>
        </w:rPr>
        <w:t>administratívno</w:t>
      </w:r>
      <w:proofErr w:type="spellEnd"/>
      <w:r w:rsidRPr="00E73279">
        <w:rPr>
          <w:rFonts w:ascii="Times New Roman" w:hAnsi="Times New Roman" w:cs="Times New Roman"/>
          <w:sz w:val="24"/>
        </w:rPr>
        <w:t xml:space="preserve"> - územnom členení Slovenska. Jatov naďalej patrí do okresu Nové Zámky a Nitrianskeho kraja.</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Od 1.4.2002 fungujú orgány samosprávneho kraja - vyššie územné celky na čele so županmi. Voľby do zastupiteľstva Nitrianskeho samosprávneho kraja sa konali 1.12.2002. Obec v rámci osláv svojho výročia prijala program obnovy, ako prejav zodpovednosti za historický odkaz svojich predkov, ktorých túžbou bolo žiť v peknom prostredí. Rozvojové zámery obce sa plnia v postupnej realizácii podzemných sietí - plynofikácia a vodovod je ukončený. V obci sa rozširujú podnikateľské aktivity, či už zo strany právnych subjektov alebo fyzických osôb. Ťažisko činnosti obce je vo zveľadení toho, čo existuje, hlavne v občianskom zanietení za vec čistejšej a krajšej obce. Cieľom obnovy je získať občana pre spoločnú vec - venovať pozornosť verejným priestranstvám dediny, uvedomiť si, že domovom nie je len vlastný dom, ale celá obec, jej ulice a priedomia. Oslovujeme mladšiu generáciu, ktorá určitou mierou stratila blízky vzťah k prostrediu za plotmi svojich rodičovských domovov. Naším cieľom je vyhlásenie zápasu proti ľahostajnosti a nevšímavosti k tomu, ako obec vyzerá. Ide o výchovu občana - žiť v takom prostredí, na ktoré bude hrdý. Rozhodne sa budeme snažiť v budúcnosti naplniť sny a túžby všetkých občanov vidieť svoj domov krajší a príťažlivejší a obec takú, aká má byt'.</w:t>
      </w:r>
    </w:p>
    <w:p w:rsidR="00E73279" w:rsidRPr="00E73279" w:rsidRDefault="00E73279" w:rsidP="00E73279">
      <w:pPr>
        <w:spacing w:line="240" w:lineRule="auto"/>
        <w:jc w:val="both"/>
        <w:rPr>
          <w:rFonts w:ascii="Times New Roman" w:hAnsi="Times New Roman" w:cs="Times New Roman"/>
          <w:sz w:val="24"/>
        </w:rPr>
      </w:pPr>
    </w:p>
    <w:p w:rsidR="002B4C4B" w:rsidRPr="00E73279" w:rsidRDefault="002B4C4B" w:rsidP="00C119AA">
      <w:pPr>
        <w:pStyle w:val="Odsekzoznamu"/>
        <w:numPr>
          <w:ilvl w:val="2"/>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Geografické hľadisko</w:t>
      </w:r>
    </w:p>
    <w:p w:rsidR="00E73279" w:rsidRPr="00E73279" w:rsidRDefault="00E94291" w:rsidP="00E73279">
      <w:pPr>
        <w:spacing w:line="240" w:lineRule="auto"/>
        <w:jc w:val="both"/>
        <w:rPr>
          <w:rFonts w:ascii="Times New Roman" w:hAnsi="Times New Roman" w:cs="Times New Roman"/>
          <w:sz w:val="24"/>
        </w:rPr>
      </w:pPr>
      <w:r>
        <w:rPr>
          <w:rFonts w:ascii="Times New Roman" w:hAnsi="Times New Roman" w:cs="Times New Roman"/>
          <w:sz w:val="24"/>
        </w:rPr>
        <w:t>Zemepisná poloha obce je približne 48°7´37´´ N (S) severnej šírky a</w:t>
      </w:r>
      <w:r w:rsidR="00F37D41">
        <w:rPr>
          <w:rFonts w:ascii="Times New Roman" w:hAnsi="Times New Roman" w:cs="Times New Roman"/>
          <w:sz w:val="24"/>
        </w:rPr>
        <w:t> </w:t>
      </w:r>
      <w:r>
        <w:rPr>
          <w:rFonts w:ascii="Times New Roman" w:hAnsi="Times New Roman" w:cs="Times New Roman"/>
          <w:sz w:val="24"/>
        </w:rPr>
        <w:t>18</w:t>
      </w:r>
      <w:r w:rsidR="00F37D41">
        <w:rPr>
          <w:rFonts w:ascii="Times New Roman" w:hAnsi="Times New Roman" w:cs="Times New Roman"/>
          <w:sz w:val="24"/>
        </w:rPr>
        <w:t xml:space="preserve">°1´36´´ E (V) východnej dĺžky. </w:t>
      </w:r>
      <w:r w:rsidR="00E73279" w:rsidRPr="00E73279">
        <w:rPr>
          <w:rFonts w:ascii="Times New Roman" w:hAnsi="Times New Roman" w:cs="Times New Roman"/>
          <w:sz w:val="24"/>
        </w:rPr>
        <w:t xml:space="preserve">Obec Jatov sa rozprestiera v Podunajskej nížine na ľavom brehu Cabajského potoka, uprostred juhozápadného Slovenska, 27 km severozápadne od Nových Zámkov. Zaberá plochu 1 866 ha so 790 obyvateľmi. Katastrálne hranice obce susedia na severe s katastrálnym územím obce Rastislavice, Poľný Kesov a Trnovec nad Váhom v smere od východu na západ. Južne od Jatova sa nachádza obec Tvrdošovce a juhozápadne obec Selice. Najdlhšou susediacou katastrálnou hranicou je hranica na severozápade s obcou Trnovec nad Váhom. Približne stredom katastrálneho územia obce Jatov prechádza štátna komunikácia číslo 75, </w:t>
      </w:r>
      <w:proofErr w:type="spellStart"/>
      <w:r w:rsidR="00E73279" w:rsidRPr="00E73279">
        <w:rPr>
          <w:rFonts w:ascii="Times New Roman" w:hAnsi="Times New Roman" w:cs="Times New Roman"/>
          <w:sz w:val="24"/>
        </w:rPr>
        <w:t>tiahnúca</w:t>
      </w:r>
      <w:proofErr w:type="spellEnd"/>
      <w:r w:rsidR="00E73279" w:rsidRPr="00E73279">
        <w:rPr>
          <w:rFonts w:ascii="Times New Roman" w:hAnsi="Times New Roman" w:cs="Times New Roman"/>
          <w:sz w:val="24"/>
        </w:rPr>
        <w:t xml:space="preserve"> sa z Nových Zámkov do Bratislavy.</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Nadmorská výška v priemere predstavuje 115 m nad morom. Časť obce Dolný Jatov dosahuje výšku 116 m nad morom. Časť </w:t>
      </w:r>
      <w:proofErr w:type="spellStart"/>
      <w:r w:rsidRPr="00E73279">
        <w:rPr>
          <w:rFonts w:ascii="Times New Roman" w:hAnsi="Times New Roman" w:cs="Times New Roman"/>
          <w:sz w:val="24"/>
        </w:rPr>
        <w:t>Kendereš</w:t>
      </w:r>
      <w:proofErr w:type="spellEnd"/>
      <w:r w:rsidRPr="00E73279">
        <w:rPr>
          <w:rFonts w:ascii="Times New Roman" w:hAnsi="Times New Roman" w:cs="Times New Roman"/>
          <w:sz w:val="24"/>
        </w:rPr>
        <w:t xml:space="preserve"> a Malý Jatov sú položené nižšie - 114 m nad morom. Obec má výhodnú dopravnú polohu. Prechádza ňou spojnica železničnej trate Nové Zámky - Bratislava, ako aj cesta spájajúca uvedené lokality. Obec tvoria tri sídelné útvary: Dolný Jatov, </w:t>
      </w:r>
      <w:proofErr w:type="spellStart"/>
      <w:r w:rsidRPr="00E73279">
        <w:rPr>
          <w:rFonts w:ascii="Times New Roman" w:hAnsi="Times New Roman" w:cs="Times New Roman"/>
          <w:sz w:val="24"/>
        </w:rPr>
        <w:t>Kendereš</w:t>
      </w:r>
      <w:proofErr w:type="spellEnd"/>
      <w:r w:rsidRPr="00E73279">
        <w:rPr>
          <w:rFonts w:ascii="Times New Roman" w:hAnsi="Times New Roman" w:cs="Times New Roman"/>
          <w:sz w:val="24"/>
        </w:rPr>
        <w:t>, Malý Jatov.</w:t>
      </w:r>
    </w:p>
    <w:p w:rsidR="00E73279" w:rsidRPr="00E73279" w:rsidRDefault="00E73279" w:rsidP="00E73279">
      <w:pPr>
        <w:spacing w:line="240" w:lineRule="auto"/>
        <w:jc w:val="both"/>
        <w:rPr>
          <w:rFonts w:ascii="Times New Roman" w:hAnsi="Times New Roman" w:cs="Times New Roman"/>
          <w:sz w:val="24"/>
        </w:rPr>
      </w:pPr>
    </w:p>
    <w:p w:rsidR="002B4C4B" w:rsidRPr="00E73279" w:rsidRDefault="002B4C4B" w:rsidP="00C119AA">
      <w:pPr>
        <w:pStyle w:val="Odsekzoznamu"/>
        <w:numPr>
          <w:ilvl w:val="2"/>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Prírodné zdroje</w:t>
      </w: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Klimatické pomery</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Najdôležitejšími činiteľmi, ktoré určujú klimatický ráz obce, sú teplota vzduchu a zrážky. Prvým ukazovateľom teplotných pomerov je ročný priemer teploty vzduchu, ktorý tu dosahuje hodnotu 9°C. Druhým najdôležitejším činiteľom pri vytváraní rázu klímy obce sú zrážky. Priemerný ročný úhrn zrážok dosahuje hodnoty 550 - 600 mm. Z toho polovica spadne v teplom </w:t>
      </w:r>
      <w:r w:rsidRPr="00E73279">
        <w:rPr>
          <w:rFonts w:ascii="Times New Roman" w:hAnsi="Times New Roman" w:cs="Times New Roman"/>
          <w:sz w:val="24"/>
        </w:rPr>
        <w:lastRenderedPageBreak/>
        <w:t>polroku, čo má veľký význam z hľadiska poľnohospodárskej produkcie. V porovnaní s ostatnými časťami Slovenska padá na Podunajskej nížine najmenej zrážok, čiže aj Jatov sa zaraďuje medzi najsuchšie a zároveň najteplejšie oblasti. V ročnom hodnotení smerov vetra prevláda severozápadné prúdenie.</w:t>
      </w:r>
    </w:p>
    <w:p w:rsidR="002B4C4B" w:rsidRPr="00E73279" w:rsidRDefault="002B4C4B" w:rsidP="00E73279">
      <w:pPr>
        <w:spacing w:line="240" w:lineRule="auto"/>
        <w:rPr>
          <w:rFonts w:ascii="Times New Roman" w:hAnsi="Times New Roman" w:cs="Times New Roman"/>
          <w:sz w:val="24"/>
          <w:szCs w:val="24"/>
          <w:lang w:eastAsia="sk-SK"/>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Geomorfologická a geologická charakteristika</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Obec Jatov patrí k nížinným typom. Začleňujeme ju do Malej dunajskej kotliny, ktorá je geomorfologickou </w:t>
      </w:r>
      <w:proofErr w:type="spellStart"/>
      <w:r w:rsidRPr="00E73279">
        <w:rPr>
          <w:rFonts w:ascii="Times New Roman" w:hAnsi="Times New Roman" w:cs="Times New Roman"/>
          <w:sz w:val="24"/>
        </w:rPr>
        <w:t>subprovinciou</w:t>
      </w:r>
      <w:proofErr w:type="spellEnd"/>
      <w:r w:rsidRPr="00E73279">
        <w:rPr>
          <w:rFonts w:ascii="Times New Roman" w:hAnsi="Times New Roman" w:cs="Times New Roman"/>
          <w:sz w:val="24"/>
        </w:rPr>
        <w:t xml:space="preserve"> </w:t>
      </w:r>
      <w:proofErr w:type="spellStart"/>
      <w:r w:rsidRPr="00E73279">
        <w:rPr>
          <w:rFonts w:ascii="Times New Roman" w:hAnsi="Times New Roman" w:cs="Times New Roman"/>
          <w:sz w:val="24"/>
        </w:rPr>
        <w:t>Zápodopanónskej</w:t>
      </w:r>
      <w:proofErr w:type="spellEnd"/>
      <w:r w:rsidRPr="00E73279">
        <w:rPr>
          <w:rFonts w:ascii="Times New Roman" w:hAnsi="Times New Roman" w:cs="Times New Roman"/>
          <w:sz w:val="24"/>
        </w:rPr>
        <w:t xml:space="preserve"> panvy. Jej oblasťou je hlavná geomorfologická jednotka - Podunajská nížina. Katastrálne územie obce Jatov je typom poľnohospodárskej nížinnej krajiny s cenným agrárnym potenciálom. V rámci Podunajskej nížiny, vzhľadom k morfológii krajiny sa vyčleňuje Podunajská rovina, na ktorej leží aj chotár Jatova. Štvrtohorné usadeniny, rozšírené na Podunajskej nížine, na ktorých sú úrodné pôdy obrábané od neolitu (mladšia doba kamenná, 5000 - 1 900 pred Kr.). Hlavným činiteľom, ktorý formoval v posledných geologických dobách toto územie bol európsky veľtok Dunaj. Územie Podunajskej roviny má mladý reliéf, vytvorený ručnou akumuláciou. Tvoria ho priečne a pozdĺžne duny a povrchové formy nepravidelných tvarov, vystupujúce do výšky aj 15 - 20 m nad okolitý terén roviny, pričom v Jatove dosahujú maximálnu výšku 123 m nad morom. Jatov sa v rámci Podunajskej roviny rozprestiera na Novozámockých </w:t>
      </w:r>
      <w:proofErr w:type="spellStart"/>
      <w:r w:rsidRPr="00E73279">
        <w:rPr>
          <w:rFonts w:ascii="Times New Roman" w:hAnsi="Times New Roman" w:cs="Times New Roman"/>
          <w:sz w:val="24"/>
        </w:rPr>
        <w:t>pláňavách</w:t>
      </w:r>
      <w:proofErr w:type="spellEnd"/>
      <w:r w:rsidRPr="00E73279">
        <w:rPr>
          <w:rFonts w:ascii="Times New Roman" w:hAnsi="Times New Roman" w:cs="Times New Roman"/>
          <w:sz w:val="24"/>
        </w:rPr>
        <w:t>.</w:t>
      </w:r>
    </w:p>
    <w:p w:rsidR="002B4C4B" w:rsidRPr="00E73279" w:rsidRDefault="002B4C4B" w:rsidP="00E73279">
      <w:pPr>
        <w:spacing w:line="240" w:lineRule="auto"/>
        <w:jc w:val="both"/>
        <w:rPr>
          <w:rFonts w:ascii="Times New Roman" w:hAnsi="Times New Roman" w:cs="Times New Roman"/>
          <w:sz w:val="24"/>
        </w:rPr>
      </w:pPr>
    </w:p>
    <w:p w:rsidR="002B4C4B" w:rsidRPr="0037517E" w:rsidRDefault="002B4C4B" w:rsidP="00C119AA">
      <w:pPr>
        <w:pStyle w:val="Odsekzoznamu"/>
        <w:numPr>
          <w:ilvl w:val="3"/>
          <w:numId w:val="3"/>
        </w:numPr>
        <w:spacing w:line="240" w:lineRule="auto"/>
        <w:jc w:val="both"/>
        <w:rPr>
          <w:rFonts w:ascii="Times New Roman" w:hAnsi="Times New Roman" w:cs="Times New Roman"/>
          <w:b/>
          <w:i/>
          <w:sz w:val="24"/>
        </w:rPr>
      </w:pPr>
      <w:r w:rsidRPr="0037517E">
        <w:rPr>
          <w:rFonts w:ascii="Times New Roman" w:hAnsi="Times New Roman" w:cs="Times New Roman"/>
          <w:b/>
          <w:i/>
          <w:sz w:val="24"/>
        </w:rPr>
        <w:t>Pôdny fond a jeho využitie</w:t>
      </w:r>
    </w:p>
    <w:p w:rsid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Na štruktúre pôdnej pokrývky Jatova sa podieľajú viaceré druhy a typy pôd. V Jatove nájdeme pôdy ílovito - hlinité, ktoré sa viažu predovšetkým na </w:t>
      </w:r>
      <w:proofErr w:type="spellStart"/>
      <w:r w:rsidRPr="00E73279">
        <w:rPr>
          <w:rFonts w:ascii="Times New Roman" w:hAnsi="Times New Roman" w:cs="Times New Roman"/>
          <w:sz w:val="24"/>
        </w:rPr>
        <w:t>zrnitostne</w:t>
      </w:r>
      <w:proofErr w:type="spellEnd"/>
      <w:r w:rsidRPr="00E73279">
        <w:rPr>
          <w:rFonts w:ascii="Times New Roman" w:hAnsi="Times New Roman" w:cs="Times New Roman"/>
          <w:sz w:val="24"/>
        </w:rPr>
        <w:t xml:space="preserve"> ťažšie riečne uloženiny, na sprašové hliny. Jatov má černozemné, lužné pôdy a </w:t>
      </w:r>
      <w:proofErr w:type="spellStart"/>
      <w:r w:rsidRPr="00E73279">
        <w:rPr>
          <w:rFonts w:ascii="Times New Roman" w:hAnsi="Times New Roman" w:cs="Times New Roman"/>
          <w:sz w:val="24"/>
        </w:rPr>
        <w:t>slaniská</w:t>
      </w:r>
      <w:proofErr w:type="spellEnd"/>
      <w:r w:rsidRPr="00E73279">
        <w:rPr>
          <w:rFonts w:ascii="Times New Roman" w:hAnsi="Times New Roman" w:cs="Times New Roman"/>
          <w:sz w:val="24"/>
        </w:rPr>
        <w:t>. Z hľadiska využitia pôdneho fondu poľnohospodárska pô</w:t>
      </w:r>
      <w:r w:rsidR="00DE731F">
        <w:rPr>
          <w:rFonts w:ascii="Times New Roman" w:hAnsi="Times New Roman" w:cs="Times New Roman"/>
          <w:sz w:val="24"/>
        </w:rPr>
        <w:t>da v chotári Jatova zaberá 1 588 ha, z toho orná pôda 1 466</w:t>
      </w:r>
      <w:r w:rsidRPr="00E73279">
        <w:rPr>
          <w:rFonts w:ascii="Times New Roman" w:hAnsi="Times New Roman" w:cs="Times New Roman"/>
          <w:sz w:val="24"/>
        </w:rPr>
        <w:t xml:space="preserve"> ha a vinice </w:t>
      </w:r>
      <w:r w:rsidR="00DE731F">
        <w:rPr>
          <w:rFonts w:ascii="Times New Roman" w:hAnsi="Times New Roman" w:cs="Times New Roman"/>
          <w:sz w:val="24"/>
        </w:rPr>
        <w:t xml:space="preserve">necelý </w:t>
      </w:r>
      <w:r w:rsidRPr="00E73279">
        <w:rPr>
          <w:rFonts w:ascii="Times New Roman" w:hAnsi="Times New Roman" w:cs="Times New Roman"/>
          <w:sz w:val="24"/>
        </w:rPr>
        <w:t>1 ha. Z nepoľnohospodárske</w:t>
      </w:r>
      <w:r w:rsidR="00214934">
        <w:rPr>
          <w:rFonts w:ascii="Times New Roman" w:hAnsi="Times New Roman" w:cs="Times New Roman"/>
          <w:sz w:val="24"/>
        </w:rPr>
        <w:t>j pôdy zaberajú lesné pozemky 48</w:t>
      </w:r>
      <w:r w:rsidRPr="00E73279">
        <w:rPr>
          <w:rFonts w:ascii="Times New Roman" w:hAnsi="Times New Roman" w:cs="Times New Roman"/>
          <w:sz w:val="24"/>
        </w:rPr>
        <w:t xml:space="preserve"> ha, zastavané pl</w:t>
      </w:r>
      <w:r w:rsidR="00214934">
        <w:rPr>
          <w:rFonts w:ascii="Times New Roman" w:hAnsi="Times New Roman" w:cs="Times New Roman"/>
          <w:sz w:val="24"/>
        </w:rPr>
        <w:t>ochy a nádvoria 115</w:t>
      </w:r>
      <w:r w:rsidRPr="00E73279">
        <w:rPr>
          <w:rFonts w:ascii="Times New Roman" w:hAnsi="Times New Roman" w:cs="Times New Roman"/>
          <w:sz w:val="24"/>
        </w:rPr>
        <w:t xml:space="preserve"> ha. Celková výmera pôdy predstavuje 1866 ha.</w:t>
      </w:r>
    </w:p>
    <w:p w:rsidR="00214934" w:rsidRDefault="00214934" w:rsidP="00E73279">
      <w:pPr>
        <w:spacing w:line="240" w:lineRule="auto"/>
        <w:jc w:val="both"/>
        <w:rPr>
          <w:rFonts w:ascii="Times New Roman" w:hAnsi="Times New Roman" w:cs="Times New Roman"/>
          <w:sz w:val="24"/>
          <w:vertAlign w:val="superscript"/>
        </w:rPr>
      </w:pPr>
      <w:r>
        <w:rPr>
          <w:rFonts w:ascii="Times New Roman" w:hAnsi="Times New Roman" w:cs="Times New Roman"/>
          <w:sz w:val="24"/>
        </w:rPr>
        <w:t>Tabuľka – Pôdny fond obce v</w:t>
      </w:r>
      <w:r w:rsidR="00D542CE">
        <w:rPr>
          <w:rFonts w:ascii="Times New Roman" w:hAnsi="Times New Roman" w:cs="Times New Roman"/>
          <w:sz w:val="24"/>
        </w:rPr>
        <w:t xml:space="preserve"> ha</w:t>
      </w:r>
    </w:p>
    <w:tbl>
      <w:tblPr>
        <w:tblW w:w="94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
        <w:gridCol w:w="956"/>
        <w:gridCol w:w="956"/>
        <w:gridCol w:w="950"/>
        <w:gridCol w:w="650"/>
        <w:gridCol w:w="851"/>
        <w:gridCol w:w="760"/>
        <w:gridCol w:w="709"/>
        <w:gridCol w:w="1030"/>
        <w:gridCol w:w="671"/>
        <w:gridCol w:w="845"/>
      </w:tblGrid>
      <w:tr w:rsidR="005B4AB3" w:rsidRPr="005B4AB3" w:rsidTr="005B4AB3">
        <w:trPr>
          <w:trHeight w:hRule="exact" w:val="330"/>
        </w:trPr>
        <w:tc>
          <w:tcPr>
            <w:tcW w:w="1034" w:type="dxa"/>
            <w:vMerge w:val="restart"/>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Kataster</w:t>
            </w:r>
          </w:p>
        </w:tc>
        <w:tc>
          <w:tcPr>
            <w:tcW w:w="956" w:type="dxa"/>
            <w:vMerge w:val="restart"/>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Spolu</w:t>
            </w:r>
          </w:p>
        </w:tc>
        <w:tc>
          <w:tcPr>
            <w:tcW w:w="3407" w:type="dxa"/>
            <w:gridSpan w:val="4"/>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Poľnohospodárska pôda (ha)</w:t>
            </w:r>
          </w:p>
        </w:tc>
        <w:tc>
          <w:tcPr>
            <w:tcW w:w="4015" w:type="dxa"/>
            <w:gridSpan w:val="5"/>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Nepoľnohospodárska pôda (ha)</w:t>
            </w:r>
          </w:p>
        </w:tc>
      </w:tr>
      <w:tr w:rsidR="005B4AB3" w:rsidRPr="005B4AB3" w:rsidTr="005B4AB3">
        <w:trPr>
          <w:trHeight w:val="645"/>
        </w:trPr>
        <w:tc>
          <w:tcPr>
            <w:tcW w:w="1034" w:type="dxa"/>
            <w:vMerge/>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p>
        </w:tc>
        <w:tc>
          <w:tcPr>
            <w:tcW w:w="956" w:type="dxa"/>
            <w:vMerge/>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p>
        </w:tc>
        <w:tc>
          <w:tcPr>
            <w:tcW w:w="956"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Orná pôda</w:t>
            </w:r>
          </w:p>
        </w:tc>
        <w:tc>
          <w:tcPr>
            <w:tcW w:w="95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Tr</w:t>
            </w:r>
            <w:r w:rsidRPr="005B4AB3">
              <w:rPr>
                <w:rFonts w:ascii="Times New Roman" w:eastAsia="Times New Roman" w:hAnsi="Times New Roman" w:cs="Times New Roman"/>
                <w:b/>
                <w:bCs/>
                <w:color w:val="000000"/>
                <w:lang w:eastAsia="sk-SK"/>
              </w:rPr>
              <w:t>valé kultúry</w:t>
            </w:r>
          </w:p>
        </w:tc>
        <w:tc>
          <w:tcPr>
            <w:tcW w:w="65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TTP</w:t>
            </w:r>
          </w:p>
        </w:tc>
        <w:tc>
          <w:tcPr>
            <w:tcW w:w="851"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4"/>
                <w:szCs w:val="24"/>
                <w:lang w:eastAsia="sk-SK"/>
              </w:rPr>
            </w:pPr>
            <w:r w:rsidRPr="005B4AB3">
              <w:rPr>
                <w:rFonts w:ascii="Times New Roman" w:eastAsia="Times New Roman" w:hAnsi="Times New Roman" w:cs="Times New Roman"/>
                <w:b/>
                <w:bCs/>
                <w:color w:val="000000"/>
                <w:sz w:val="24"/>
                <w:szCs w:val="24"/>
                <w:lang w:eastAsia="sk-SK"/>
              </w:rPr>
              <w:t>Spolu</w:t>
            </w:r>
          </w:p>
        </w:tc>
        <w:tc>
          <w:tcPr>
            <w:tcW w:w="76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0"/>
                <w:szCs w:val="20"/>
                <w:lang w:eastAsia="sk-SK"/>
              </w:rPr>
            </w:pPr>
            <w:r w:rsidRPr="005B4AB3">
              <w:rPr>
                <w:rFonts w:ascii="Times New Roman" w:eastAsia="Times New Roman" w:hAnsi="Times New Roman" w:cs="Times New Roman"/>
                <w:b/>
                <w:bCs/>
                <w:color w:val="000000"/>
                <w:sz w:val="20"/>
                <w:szCs w:val="24"/>
                <w:lang w:eastAsia="sk-SK"/>
              </w:rPr>
              <w:t>Lesná pôda</w:t>
            </w:r>
          </w:p>
        </w:tc>
        <w:tc>
          <w:tcPr>
            <w:tcW w:w="709"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0"/>
                <w:szCs w:val="20"/>
                <w:lang w:eastAsia="sk-SK"/>
              </w:rPr>
            </w:pPr>
            <w:r w:rsidRPr="005B4AB3">
              <w:rPr>
                <w:rFonts w:ascii="Times New Roman" w:eastAsia="Times New Roman" w:hAnsi="Times New Roman" w:cs="Times New Roman"/>
                <w:b/>
                <w:bCs/>
                <w:color w:val="000000"/>
                <w:sz w:val="20"/>
                <w:szCs w:val="24"/>
                <w:lang w:eastAsia="sk-SK"/>
              </w:rPr>
              <w:t>Vodná pôda</w:t>
            </w:r>
          </w:p>
        </w:tc>
        <w:tc>
          <w:tcPr>
            <w:tcW w:w="103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0"/>
                <w:szCs w:val="20"/>
                <w:lang w:eastAsia="sk-SK"/>
              </w:rPr>
            </w:pPr>
            <w:r w:rsidRPr="005B4AB3">
              <w:rPr>
                <w:rFonts w:ascii="Times New Roman" w:eastAsia="Times New Roman" w:hAnsi="Times New Roman" w:cs="Times New Roman"/>
                <w:b/>
                <w:bCs/>
                <w:color w:val="000000"/>
                <w:sz w:val="20"/>
                <w:szCs w:val="24"/>
                <w:lang w:eastAsia="sk-SK"/>
              </w:rPr>
              <w:t>Zastavaná pôda</w:t>
            </w:r>
          </w:p>
        </w:tc>
        <w:tc>
          <w:tcPr>
            <w:tcW w:w="671"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0"/>
                <w:szCs w:val="20"/>
                <w:lang w:eastAsia="sk-SK"/>
              </w:rPr>
            </w:pPr>
            <w:r w:rsidRPr="005B4AB3">
              <w:rPr>
                <w:rFonts w:ascii="Times New Roman" w:eastAsia="Times New Roman" w:hAnsi="Times New Roman" w:cs="Times New Roman"/>
                <w:b/>
                <w:bCs/>
                <w:color w:val="000000"/>
                <w:sz w:val="20"/>
                <w:szCs w:val="24"/>
                <w:lang w:eastAsia="sk-SK"/>
              </w:rPr>
              <w:t>Ostatná pôda</w:t>
            </w:r>
          </w:p>
        </w:tc>
        <w:tc>
          <w:tcPr>
            <w:tcW w:w="845"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b/>
                <w:bCs/>
                <w:color w:val="000000"/>
                <w:sz w:val="20"/>
                <w:szCs w:val="20"/>
                <w:lang w:eastAsia="sk-SK"/>
              </w:rPr>
            </w:pPr>
            <w:r w:rsidRPr="005B4AB3">
              <w:rPr>
                <w:rFonts w:ascii="Times New Roman" w:eastAsia="Times New Roman" w:hAnsi="Times New Roman" w:cs="Times New Roman"/>
                <w:b/>
                <w:bCs/>
                <w:color w:val="000000"/>
                <w:sz w:val="20"/>
                <w:szCs w:val="24"/>
                <w:lang w:eastAsia="sk-SK"/>
              </w:rPr>
              <w:t>Spolu</w:t>
            </w:r>
          </w:p>
        </w:tc>
      </w:tr>
      <w:tr w:rsidR="005B4AB3" w:rsidRPr="005B4AB3" w:rsidTr="005B4AB3">
        <w:trPr>
          <w:trHeight w:hRule="exact" w:val="645"/>
        </w:trPr>
        <w:tc>
          <w:tcPr>
            <w:tcW w:w="1034"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Obec Jatov</w:t>
            </w:r>
          </w:p>
        </w:tc>
        <w:tc>
          <w:tcPr>
            <w:tcW w:w="956"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1865,69</w:t>
            </w:r>
          </w:p>
        </w:tc>
        <w:tc>
          <w:tcPr>
            <w:tcW w:w="956"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1466,01</w:t>
            </w:r>
          </w:p>
        </w:tc>
        <w:tc>
          <w:tcPr>
            <w:tcW w:w="95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74,61</w:t>
            </w:r>
          </w:p>
        </w:tc>
        <w:tc>
          <w:tcPr>
            <w:tcW w:w="65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47,3</w:t>
            </w:r>
          </w:p>
        </w:tc>
        <w:tc>
          <w:tcPr>
            <w:tcW w:w="851"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1588</w:t>
            </w:r>
          </w:p>
        </w:tc>
        <w:tc>
          <w:tcPr>
            <w:tcW w:w="76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48,48</w:t>
            </w:r>
          </w:p>
        </w:tc>
        <w:tc>
          <w:tcPr>
            <w:tcW w:w="709"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98,75</w:t>
            </w:r>
          </w:p>
        </w:tc>
        <w:tc>
          <w:tcPr>
            <w:tcW w:w="103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115,17</w:t>
            </w:r>
          </w:p>
        </w:tc>
        <w:tc>
          <w:tcPr>
            <w:tcW w:w="671"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15,3</w:t>
            </w:r>
          </w:p>
        </w:tc>
        <w:tc>
          <w:tcPr>
            <w:tcW w:w="845"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277,68</w:t>
            </w:r>
          </w:p>
        </w:tc>
      </w:tr>
      <w:tr w:rsidR="005B4AB3" w:rsidRPr="005B4AB3" w:rsidTr="005B4AB3">
        <w:trPr>
          <w:trHeight w:hRule="exact" w:val="330"/>
        </w:trPr>
        <w:tc>
          <w:tcPr>
            <w:tcW w:w="1034"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V%</w:t>
            </w:r>
          </w:p>
        </w:tc>
        <w:tc>
          <w:tcPr>
            <w:tcW w:w="956"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100,0%</w:t>
            </w:r>
          </w:p>
        </w:tc>
        <w:tc>
          <w:tcPr>
            <w:tcW w:w="956"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78,6%</w:t>
            </w:r>
          </w:p>
        </w:tc>
        <w:tc>
          <w:tcPr>
            <w:tcW w:w="95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4,0%</w:t>
            </w:r>
          </w:p>
        </w:tc>
        <w:tc>
          <w:tcPr>
            <w:tcW w:w="65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2,5%</w:t>
            </w:r>
          </w:p>
        </w:tc>
        <w:tc>
          <w:tcPr>
            <w:tcW w:w="851"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85,1%</w:t>
            </w:r>
          </w:p>
        </w:tc>
        <w:tc>
          <w:tcPr>
            <w:tcW w:w="76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2,6%</w:t>
            </w:r>
          </w:p>
        </w:tc>
        <w:tc>
          <w:tcPr>
            <w:tcW w:w="709"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5,3%</w:t>
            </w:r>
          </w:p>
        </w:tc>
        <w:tc>
          <w:tcPr>
            <w:tcW w:w="1030"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6,2%</w:t>
            </w:r>
          </w:p>
        </w:tc>
        <w:tc>
          <w:tcPr>
            <w:tcW w:w="671"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0,8%</w:t>
            </w:r>
          </w:p>
        </w:tc>
        <w:tc>
          <w:tcPr>
            <w:tcW w:w="845" w:type="dxa"/>
            <w:shd w:val="clear" w:color="auto" w:fill="auto"/>
            <w:vAlign w:val="center"/>
            <w:hideMark/>
          </w:tcPr>
          <w:p w:rsidR="005B4AB3" w:rsidRPr="005B4AB3" w:rsidRDefault="005B4AB3" w:rsidP="005B4AB3">
            <w:pPr>
              <w:spacing w:after="0" w:line="240" w:lineRule="auto"/>
              <w:jc w:val="center"/>
              <w:rPr>
                <w:rFonts w:ascii="Times New Roman" w:eastAsia="Times New Roman" w:hAnsi="Times New Roman" w:cs="Times New Roman"/>
                <w:color w:val="000000"/>
                <w:sz w:val="24"/>
                <w:szCs w:val="24"/>
                <w:lang w:eastAsia="sk-SK"/>
              </w:rPr>
            </w:pPr>
            <w:r w:rsidRPr="005B4AB3">
              <w:rPr>
                <w:rFonts w:ascii="Times New Roman" w:eastAsia="Times New Roman" w:hAnsi="Times New Roman" w:cs="Times New Roman"/>
                <w:color w:val="000000"/>
                <w:sz w:val="24"/>
                <w:szCs w:val="24"/>
                <w:lang w:eastAsia="sk-SK"/>
              </w:rPr>
              <w:t>14,9%</w:t>
            </w:r>
          </w:p>
        </w:tc>
      </w:tr>
    </w:tbl>
    <w:p w:rsidR="00BC544B" w:rsidRDefault="00214934" w:rsidP="00E73279">
      <w:pPr>
        <w:spacing w:line="240" w:lineRule="auto"/>
        <w:jc w:val="both"/>
        <w:rPr>
          <w:rFonts w:ascii="Times New Roman" w:hAnsi="Times New Roman" w:cs="Times New Roman"/>
          <w:sz w:val="24"/>
        </w:rPr>
      </w:pPr>
      <w:r>
        <w:rPr>
          <w:rFonts w:ascii="Times New Roman" w:hAnsi="Times New Roman" w:cs="Times New Roman"/>
          <w:sz w:val="24"/>
        </w:rPr>
        <w:t xml:space="preserve">Zdroj: </w:t>
      </w:r>
      <w:proofErr w:type="spellStart"/>
      <w:r>
        <w:rPr>
          <w:rFonts w:ascii="Times New Roman" w:hAnsi="Times New Roman" w:cs="Times New Roman"/>
          <w:sz w:val="24"/>
        </w:rPr>
        <w:t>DataCube</w:t>
      </w:r>
      <w:proofErr w:type="spellEnd"/>
      <w:r>
        <w:rPr>
          <w:rFonts w:ascii="Times New Roman" w:hAnsi="Times New Roman" w:cs="Times New Roman"/>
          <w:sz w:val="24"/>
        </w:rPr>
        <w:t>, 2015</w:t>
      </w:r>
    </w:p>
    <w:p w:rsidR="00214934" w:rsidRDefault="00214934" w:rsidP="00E73279">
      <w:pPr>
        <w:spacing w:line="240" w:lineRule="auto"/>
        <w:jc w:val="both"/>
        <w:rPr>
          <w:rFonts w:ascii="Times New Roman" w:hAnsi="Times New Roman" w:cs="Times New Roman"/>
          <w:sz w:val="24"/>
        </w:rPr>
      </w:pPr>
      <w:r>
        <w:rPr>
          <w:rFonts w:ascii="Times New Roman" w:hAnsi="Times New Roman" w:cs="Times New Roman"/>
          <w:sz w:val="24"/>
        </w:rPr>
        <w:t>Graf – Pôdny fond obce v %</w:t>
      </w:r>
    </w:p>
    <w:p w:rsidR="00214934" w:rsidRDefault="005B4AB3" w:rsidP="00E73279">
      <w:pPr>
        <w:spacing w:line="240" w:lineRule="auto"/>
        <w:jc w:val="both"/>
        <w:rPr>
          <w:rFonts w:ascii="Times New Roman" w:hAnsi="Times New Roman" w:cs="Times New Roman"/>
          <w:sz w:val="24"/>
        </w:rPr>
      </w:pPr>
      <w:r w:rsidRPr="005B4AB3">
        <w:rPr>
          <w:rFonts w:ascii="Times New Roman" w:hAnsi="Times New Roman" w:cs="Times New Roman"/>
          <w:noProof/>
          <w:sz w:val="24"/>
          <w:lang w:eastAsia="sk-SK"/>
        </w:rPr>
        <w:lastRenderedPageBreak/>
        <w:drawing>
          <wp:inline distT="0" distB="0" distL="0" distR="0">
            <wp:extent cx="5358168" cy="3084394"/>
            <wp:effectExtent l="19050" t="0" r="13932" b="1706"/>
            <wp:docPr id="16"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4934" w:rsidRDefault="00214934" w:rsidP="00E73279">
      <w:pPr>
        <w:spacing w:line="240" w:lineRule="auto"/>
        <w:jc w:val="both"/>
        <w:rPr>
          <w:rFonts w:ascii="Times New Roman" w:hAnsi="Times New Roman" w:cs="Times New Roman"/>
          <w:sz w:val="24"/>
        </w:rPr>
      </w:pPr>
      <w:r>
        <w:rPr>
          <w:rFonts w:ascii="Times New Roman" w:hAnsi="Times New Roman" w:cs="Times New Roman"/>
          <w:sz w:val="24"/>
        </w:rPr>
        <w:t>Zdroj: Tabuľka</w:t>
      </w:r>
    </w:p>
    <w:p w:rsidR="00214934" w:rsidRPr="00E73279" w:rsidRDefault="00214934" w:rsidP="00E73279">
      <w:pPr>
        <w:spacing w:line="240" w:lineRule="auto"/>
        <w:jc w:val="both"/>
        <w:rPr>
          <w:rFonts w:ascii="Times New Roman" w:hAnsi="Times New Roman" w:cs="Times New Roman"/>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Voda</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Západná časť odlesneného chotára je rovina v močaristej nížine odvodňovanej Dlhým kanálom. Cabajský potok je 29,2 km dlhý ľavostranný prítok Dlhého kanála. Pramení v južnej časti Nitrianskej pahorkatiny vo výške okolo 200 m nad morom. Medzi Cabajským potokom a </w:t>
      </w:r>
      <w:proofErr w:type="spellStart"/>
      <w:r w:rsidRPr="00E73279">
        <w:rPr>
          <w:rFonts w:ascii="Times New Roman" w:hAnsi="Times New Roman" w:cs="Times New Roman"/>
          <w:sz w:val="24"/>
        </w:rPr>
        <w:t>Tvrdošovským</w:t>
      </w:r>
      <w:proofErr w:type="spellEnd"/>
      <w:r w:rsidRPr="00E73279">
        <w:rPr>
          <w:rFonts w:ascii="Times New Roman" w:hAnsi="Times New Roman" w:cs="Times New Roman"/>
          <w:sz w:val="24"/>
        </w:rPr>
        <w:t xml:space="preserve"> potokom je vybudovaný umelý odvodňovací kanál </w:t>
      </w:r>
      <w:proofErr w:type="spellStart"/>
      <w:r w:rsidRPr="00E73279">
        <w:rPr>
          <w:rFonts w:ascii="Times New Roman" w:hAnsi="Times New Roman" w:cs="Times New Roman"/>
          <w:sz w:val="24"/>
        </w:rPr>
        <w:t>Nemeštág</w:t>
      </w:r>
      <w:proofErr w:type="spellEnd"/>
      <w:r w:rsidRPr="00E73279">
        <w:rPr>
          <w:rFonts w:ascii="Times New Roman" w:hAnsi="Times New Roman" w:cs="Times New Roman"/>
          <w:sz w:val="24"/>
        </w:rPr>
        <w:t>. Prechádza chotárom Jatova a Tvrdošoviec.</w:t>
      </w:r>
    </w:p>
    <w:p w:rsid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V obci sa nachádza aj vodná nádrž, ktorá je v správe Slovenského rybárskeho zväzu</w:t>
      </w:r>
      <w:r w:rsidR="00F37D41">
        <w:rPr>
          <w:rFonts w:ascii="Times New Roman" w:hAnsi="Times New Roman" w:cs="Times New Roman"/>
          <w:sz w:val="24"/>
        </w:rPr>
        <w:t>.</w:t>
      </w:r>
    </w:p>
    <w:p w:rsidR="00F37D41" w:rsidRDefault="00F37D41" w:rsidP="00E73279">
      <w:pPr>
        <w:spacing w:line="240" w:lineRule="auto"/>
        <w:jc w:val="both"/>
        <w:rPr>
          <w:rFonts w:ascii="Times New Roman" w:hAnsi="Times New Roman" w:cs="Times New Roman"/>
          <w:sz w:val="24"/>
        </w:rPr>
      </w:pPr>
      <w:r>
        <w:rPr>
          <w:rFonts w:ascii="Times New Roman" w:hAnsi="Times New Roman" w:cs="Times New Roman"/>
          <w:sz w:val="24"/>
        </w:rPr>
        <w:t>V okolí obce sa nachádzajú zdroje podzemných vôd. Geotermálne vrty alebo pramene sa v okolí obce nenachádzajú.</w:t>
      </w:r>
    </w:p>
    <w:p w:rsidR="00F37D41" w:rsidRPr="00E73279" w:rsidRDefault="00F37D41" w:rsidP="00E73279">
      <w:pPr>
        <w:spacing w:line="240" w:lineRule="auto"/>
        <w:jc w:val="both"/>
        <w:rPr>
          <w:rFonts w:ascii="Times New Roman" w:hAnsi="Times New Roman" w:cs="Times New Roman"/>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Lesy</w:t>
      </w:r>
    </w:p>
    <w:p w:rsidR="002B4C4B" w:rsidRDefault="00530BB8" w:rsidP="00E94291">
      <w:pPr>
        <w:spacing w:line="240" w:lineRule="auto"/>
        <w:jc w:val="both"/>
        <w:rPr>
          <w:rFonts w:ascii="Times New Roman" w:hAnsi="Times New Roman" w:cs="Times New Roman"/>
          <w:sz w:val="24"/>
        </w:rPr>
      </w:pPr>
      <w:r>
        <w:rPr>
          <w:rFonts w:ascii="Times New Roman" w:hAnsi="Times New Roman" w:cs="Times New Roman"/>
          <w:sz w:val="24"/>
        </w:rPr>
        <w:t>V katastrálnom území obce Jatov sa nachádzajú lesy vo výmere 27,4 ha.</w:t>
      </w:r>
      <w:r w:rsidR="00E94291">
        <w:rPr>
          <w:rFonts w:ascii="Times New Roman" w:hAnsi="Times New Roman" w:cs="Times New Roman"/>
          <w:sz w:val="24"/>
        </w:rPr>
        <w:t xml:space="preserve"> Viac ako 51 % z celkovej výmery lesov tvorí drevina topoľa šľachteného s rozlohou 14,14 ha.. Druhý najväčší podiel tvorí jaseň s rozlohou 7,98 ha.</w:t>
      </w:r>
    </w:p>
    <w:p w:rsidR="00E94291" w:rsidRDefault="00E94291" w:rsidP="00E94291">
      <w:pPr>
        <w:spacing w:line="240" w:lineRule="auto"/>
        <w:jc w:val="both"/>
        <w:rPr>
          <w:rFonts w:ascii="Times New Roman" w:hAnsi="Times New Roman" w:cs="Times New Roman"/>
          <w:sz w:val="24"/>
        </w:rPr>
      </w:pPr>
      <w:r>
        <w:rPr>
          <w:rFonts w:ascii="Times New Roman" w:hAnsi="Times New Roman" w:cs="Times New Roman"/>
          <w:sz w:val="24"/>
        </w:rPr>
        <w:t>Tabuľka – Drevinové zloženie</w:t>
      </w:r>
    </w:p>
    <w:tbl>
      <w:tblPr>
        <w:tblW w:w="39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967"/>
        <w:gridCol w:w="1047"/>
      </w:tblGrid>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b/>
                <w:bCs/>
                <w:color w:val="000000"/>
                <w:sz w:val="24"/>
                <w:szCs w:val="24"/>
                <w:lang w:eastAsia="sk-SK"/>
              </w:rPr>
            </w:pPr>
            <w:r w:rsidRPr="00E94291">
              <w:rPr>
                <w:rFonts w:ascii="Times New Roman" w:eastAsia="Times New Roman" w:hAnsi="Times New Roman" w:cs="Times New Roman"/>
                <w:b/>
                <w:bCs/>
                <w:color w:val="000000"/>
                <w:sz w:val="24"/>
                <w:szCs w:val="24"/>
                <w:lang w:eastAsia="sk-SK"/>
              </w:rPr>
              <w:t>Drevina</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b/>
                <w:bCs/>
                <w:color w:val="000000"/>
                <w:sz w:val="24"/>
                <w:szCs w:val="24"/>
                <w:lang w:eastAsia="sk-SK"/>
              </w:rPr>
            </w:pPr>
            <w:r w:rsidRPr="00E94291">
              <w:rPr>
                <w:rFonts w:ascii="Times New Roman" w:eastAsia="Times New Roman" w:hAnsi="Times New Roman" w:cs="Times New Roman"/>
                <w:b/>
                <w:bCs/>
                <w:color w:val="000000"/>
                <w:sz w:val="24"/>
                <w:szCs w:val="24"/>
                <w:lang w:eastAsia="sk-SK"/>
              </w:rPr>
              <w:t>Výmera v ha</w:t>
            </w:r>
          </w:p>
        </w:tc>
        <w:tc>
          <w:tcPr>
            <w:tcW w:w="104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b/>
                <w:bCs/>
                <w:color w:val="000000"/>
                <w:sz w:val="24"/>
                <w:szCs w:val="24"/>
                <w:lang w:eastAsia="sk-SK"/>
              </w:rPr>
            </w:pPr>
            <w:r w:rsidRPr="00E94291">
              <w:rPr>
                <w:rFonts w:ascii="Times New Roman" w:eastAsia="Times New Roman" w:hAnsi="Times New Roman" w:cs="Times New Roman"/>
                <w:b/>
                <w:bCs/>
                <w:color w:val="000000"/>
                <w:sz w:val="24"/>
                <w:szCs w:val="24"/>
                <w:lang w:eastAsia="sk-SK"/>
              </w:rPr>
              <w:t>Percento</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Agát</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1,55</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5,7</w:t>
            </w:r>
            <w:r w:rsidRPr="00E94291">
              <w:rPr>
                <w:rFonts w:ascii="Times New Roman" w:eastAsia="Times New Roman" w:hAnsi="Times New Roman" w:cs="Times New Roman"/>
                <w:color w:val="000000"/>
                <w:sz w:val="24"/>
                <w:szCs w:val="24"/>
                <w:lang w:eastAsia="sk-SK"/>
              </w:rPr>
              <w:t>%</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Jaseň</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7,98</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29,1</w:t>
            </w:r>
            <w:r w:rsidRPr="00E94291">
              <w:rPr>
                <w:rFonts w:ascii="Times New Roman" w:eastAsia="Times New Roman" w:hAnsi="Times New Roman" w:cs="Times New Roman"/>
                <w:color w:val="000000"/>
                <w:sz w:val="24"/>
                <w:szCs w:val="24"/>
                <w:lang w:eastAsia="sk-SK"/>
              </w:rPr>
              <w:t>%</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Javor</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1,73</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6,3</w:t>
            </w:r>
            <w:r w:rsidRPr="00E94291">
              <w:rPr>
                <w:rFonts w:ascii="Times New Roman" w:eastAsia="Times New Roman" w:hAnsi="Times New Roman" w:cs="Times New Roman"/>
                <w:color w:val="000000"/>
                <w:sz w:val="24"/>
                <w:szCs w:val="24"/>
                <w:lang w:eastAsia="sk-SK"/>
              </w:rPr>
              <w:t>%</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Ostatné listnaté</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0,12</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0,4%</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Topoľ</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0,06</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0,2</w:t>
            </w:r>
            <w:r w:rsidRPr="00E94291">
              <w:rPr>
                <w:rFonts w:ascii="Times New Roman" w:eastAsia="Times New Roman" w:hAnsi="Times New Roman" w:cs="Times New Roman"/>
                <w:color w:val="000000"/>
                <w:sz w:val="24"/>
                <w:szCs w:val="24"/>
                <w:lang w:eastAsia="sk-SK"/>
              </w:rPr>
              <w:t>%</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lastRenderedPageBreak/>
              <w:t>Topoľ šľachtený</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14,14</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51,6</w:t>
            </w:r>
            <w:r w:rsidRPr="00E94291">
              <w:rPr>
                <w:rFonts w:ascii="Times New Roman" w:eastAsia="Times New Roman" w:hAnsi="Times New Roman" w:cs="Times New Roman"/>
                <w:color w:val="000000"/>
                <w:sz w:val="24"/>
                <w:szCs w:val="24"/>
                <w:lang w:eastAsia="sk-SK"/>
              </w:rPr>
              <w:t>%</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Vŕba</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color w:val="000000"/>
                <w:sz w:val="24"/>
                <w:szCs w:val="24"/>
                <w:lang w:eastAsia="sk-SK"/>
              </w:rPr>
            </w:pPr>
            <w:r w:rsidRPr="00E94291">
              <w:rPr>
                <w:rFonts w:ascii="Times New Roman" w:eastAsia="Times New Roman" w:hAnsi="Times New Roman" w:cs="Times New Roman"/>
                <w:color w:val="000000"/>
                <w:sz w:val="24"/>
                <w:szCs w:val="24"/>
                <w:lang w:eastAsia="sk-SK"/>
              </w:rPr>
              <w:t>1,82</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6,6</w:t>
            </w:r>
            <w:r w:rsidRPr="00E94291">
              <w:rPr>
                <w:rFonts w:ascii="Times New Roman" w:eastAsia="Times New Roman" w:hAnsi="Times New Roman" w:cs="Times New Roman"/>
                <w:color w:val="000000"/>
                <w:sz w:val="24"/>
                <w:szCs w:val="24"/>
                <w:lang w:eastAsia="sk-SK"/>
              </w:rPr>
              <w:t>%</w:t>
            </w:r>
          </w:p>
        </w:tc>
      </w:tr>
      <w:tr w:rsidR="00E94291" w:rsidRPr="00E94291" w:rsidTr="00E94291">
        <w:trPr>
          <w:trHeight w:val="283"/>
        </w:trPr>
        <w:tc>
          <w:tcPr>
            <w:tcW w:w="1985" w:type="dxa"/>
            <w:shd w:val="clear" w:color="auto" w:fill="auto"/>
            <w:vAlign w:val="center"/>
            <w:hideMark/>
          </w:tcPr>
          <w:p w:rsidR="00E94291" w:rsidRPr="00E94291" w:rsidRDefault="00E94291" w:rsidP="00E94291">
            <w:pPr>
              <w:spacing w:after="0" w:line="240" w:lineRule="auto"/>
              <w:rPr>
                <w:rFonts w:ascii="Times New Roman" w:eastAsia="Times New Roman" w:hAnsi="Times New Roman" w:cs="Times New Roman"/>
                <w:b/>
                <w:bCs/>
                <w:color w:val="000000"/>
                <w:sz w:val="24"/>
                <w:szCs w:val="24"/>
                <w:lang w:eastAsia="sk-SK"/>
              </w:rPr>
            </w:pPr>
            <w:r w:rsidRPr="00E94291">
              <w:rPr>
                <w:rFonts w:ascii="Times New Roman" w:eastAsia="Times New Roman" w:hAnsi="Times New Roman" w:cs="Times New Roman"/>
                <w:b/>
                <w:bCs/>
                <w:color w:val="000000"/>
                <w:sz w:val="24"/>
                <w:szCs w:val="24"/>
                <w:lang w:eastAsia="sk-SK"/>
              </w:rPr>
              <w:t>Spolu</w:t>
            </w:r>
          </w:p>
        </w:tc>
        <w:tc>
          <w:tcPr>
            <w:tcW w:w="967" w:type="dxa"/>
            <w:shd w:val="clear" w:color="auto" w:fill="auto"/>
            <w:vAlign w:val="center"/>
            <w:hideMark/>
          </w:tcPr>
          <w:p w:rsidR="00E94291" w:rsidRPr="00E94291" w:rsidRDefault="00E94291" w:rsidP="00E94291">
            <w:pPr>
              <w:spacing w:after="0" w:line="240" w:lineRule="auto"/>
              <w:jc w:val="center"/>
              <w:rPr>
                <w:rFonts w:ascii="Times New Roman" w:eastAsia="Times New Roman" w:hAnsi="Times New Roman" w:cs="Times New Roman"/>
                <w:b/>
                <w:bCs/>
                <w:color w:val="000000"/>
                <w:sz w:val="24"/>
                <w:szCs w:val="24"/>
                <w:lang w:eastAsia="sk-SK"/>
              </w:rPr>
            </w:pPr>
            <w:r w:rsidRPr="00E94291">
              <w:rPr>
                <w:rFonts w:ascii="Times New Roman" w:eastAsia="Times New Roman" w:hAnsi="Times New Roman" w:cs="Times New Roman"/>
                <w:b/>
                <w:bCs/>
                <w:color w:val="000000"/>
                <w:sz w:val="24"/>
                <w:szCs w:val="24"/>
                <w:lang w:eastAsia="sk-SK"/>
              </w:rPr>
              <w:t>27,41</w:t>
            </w:r>
          </w:p>
        </w:tc>
        <w:tc>
          <w:tcPr>
            <w:tcW w:w="1047" w:type="dxa"/>
            <w:shd w:val="clear" w:color="auto" w:fill="auto"/>
            <w:vAlign w:val="center"/>
            <w:hideMark/>
          </w:tcPr>
          <w:p w:rsidR="00E94291" w:rsidRPr="00E94291" w:rsidRDefault="00E94291" w:rsidP="00E94291">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100</w:t>
            </w:r>
            <w:r w:rsidRPr="00E94291">
              <w:rPr>
                <w:rFonts w:ascii="Times New Roman" w:eastAsia="Times New Roman" w:hAnsi="Times New Roman" w:cs="Times New Roman"/>
                <w:b/>
                <w:bCs/>
                <w:color w:val="000000"/>
                <w:sz w:val="24"/>
                <w:szCs w:val="24"/>
                <w:lang w:eastAsia="sk-SK"/>
              </w:rPr>
              <w:t>%</w:t>
            </w:r>
          </w:p>
        </w:tc>
      </w:tr>
    </w:tbl>
    <w:p w:rsidR="00E94291" w:rsidRDefault="00E94291" w:rsidP="00530BB8">
      <w:pPr>
        <w:spacing w:line="240" w:lineRule="auto"/>
        <w:rPr>
          <w:rFonts w:ascii="Times New Roman" w:hAnsi="Times New Roman" w:cs="Times New Roman"/>
          <w:sz w:val="24"/>
        </w:rPr>
      </w:pPr>
      <w:r>
        <w:rPr>
          <w:rFonts w:ascii="Times New Roman" w:hAnsi="Times New Roman" w:cs="Times New Roman"/>
          <w:sz w:val="24"/>
        </w:rPr>
        <w:t>Zdroj: Národné lesnícke centrum Zvolen</w:t>
      </w:r>
    </w:p>
    <w:p w:rsidR="00E94291" w:rsidRPr="00530BB8" w:rsidRDefault="00E94291" w:rsidP="00530BB8">
      <w:pPr>
        <w:spacing w:line="240" w:lineRule="auto"/>
        <w:rPr>
          <w:rFonts w:ascii="Times New Roman" w:hAnsi="Times New Roman" w:cs="Times New Roman"/>
          <w:sz w:val="24"/>
        </w:rPr>
      </w:pPr>
      <w:r>
        <w:rPr>
          <w:rFonts w:ascii="Times New Roman" w:hAnsi="Times New Roman" w:cs="Times New Roman"/>
          <w:sz w:val="24"/>
        </w:rPr>
        <w:t>Graf – Drevinové zloženie</w:t>
      </w:r>
    </w:p>
    <w:p w:rsidR="002B4C4B" w:rsidRDefault="00E94291" w:rsidP="00E73279">
      <w:pPr>
        <w:spacing w:line="240" w:lineRule="auto"/>
        <w:jc w:val="both"/>
        <w:rPr>
          <w:rFonts w:ascii="Times New Roman" w:hAnsi="Times New Roman" w:cs="Times New Roman"/>
          <w:b/>
          <w:i/>
          <w:sz w:val="24"/>
        </w:rPr>
      </w:pPr>
      <w:r w:rsidRPr="00E94291">
        <w:rPr>
          <w:rFonts w:ascii="Times New Roman" w:hAnsi="Times New Roman" w:cs="Times New Roman"/>
          <w:b/>
          <w:i/>
          <w:noProof/>
          <w:sz w:val="24"/>
          <w:lang w:eastAsia="sk-SK"/>
        </w:rPr>
        <w:drawing>
          <wp:inline distT="0" distB="0" distL="0" distR="0">
            <wp:extent cx="4276725" cy="2181225"/>
            <wp:effectExtent l="19050" t="0" r="9525"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4291" w:rsidRDefault="00E94291" w:rsidP="00E73279">
      <w:pPr>
        <w:spacing w:line="240" w:lineRule="auto"/>
        <w:jc w:val="both"/>
        <w:rPr>
          <w:rFonts w:ascii="Times New Roman" w:hAnsi="Times New Roman" w:cs="Times New Roman"/>
          <w:sz w:val="24"/>
        </w:rPr>
      </w:pPr>
      <w:r>
        <w:rPr>
          <w:rFonts w:ascii="Times New Roman" w:hAnsi="Times New Roman" w:cs="Times New Roman"/>
          <w:sz w:val="24"/>
        </w:rPr>
        <w:t>Zdroj: Tabuľka</w:t>
      </w:r>
    </w:p>
    <w:p w:rsidR="00E94291" w:rsidRPr="00E94291" w:rsidRDefault="00E94291" w:rsidP="00E73279">
      <w:pPr>
        <w:spacing w:line="240" w:lineRule="auto"/>
        <w:jc w:val="both"/>
        <w:rPr>
          <w:rFonts w:ascii="Times New Roman" w:hAnsi="Times New Roman" w:cs="Times New Roman"/>
          <w:sz w:val="24"/>
        </w:rPr>
      </w:pPr>
      <w:r>
        <w:rPr>
          <w:rFonts w:ascii="Times New Roman" w:hAnsi="Times New Roman" w:cs="Times New Roman"/>
          <w:sz w:val="24"/>
        </w:rPr>
        <w:t>V katastrálnom území obce sú zásoby listnatej dreviny vo výmere 2 107 m</w:t>
      </w:r>
      <w:r>
        <w:rPr>
          <w:rFonts w:ascii="Times New Roman" w:hAnsi="Times New Roman" w:cs="Times New Roman"/>
          <w:sz w:val="24"/>
          <w:vertAlign w:val="superscript"/>
        </w:rPr>
        <w:t>3</w:t>
      </w:r>
      <w:r>
        <w:rPr>
          <w:rFonts w:ascii="Times New Roman" w:hAnsi="Times New Roman" w:cs="Times New Roman"/>
          <w:sz w:val="24"/>
        </w:rPr>
        <w:t xml:space="preserve">. </w:t>
      </w:r>
    </w:p>
    <w:p w:rsidR="002B4C4B" w:rsidRPr="00943ADF" w:rsidRDefault="002B4C4B" w:rsidP="00C119AA">
      <w:pPr>
        <w:pStyle w:val="Odsekzoznamu"/>
        <w:numPr>
          <w:ilvl w:val="3"/>
          <w:numId w:val="3"/>
        </w:numPr>
        <w:spacing w:line="240" w:lineRule="auto"/>
        <w:jc w:val="both"/>
        <w:rPr>
          <w:rFonts w:ascii="Times New Roman" w:hAnsi="Times New Roman" w:cs="Times New Roman"/>
          <w:b/>
          <w:i/>
          <w:sz w:val="24"/>
        </w:rPr>
      </w:pPr>
      <w:r w:rsidRPr="00943ADF">
        <w:rPr>
          <w:rFonts w:ascii="Times New Roman" w:hAnsi="Times New Roman" w:cs="Times New Roman"/>
          <w:b/>
          <w:i/>
          <w:sz w:val="24"/>
        </w:rPr>
        <w:t>Nerastné suroviny</w:t>
      </w:r>
    </w:p>
    <w:p w:rsidR="002B4C4B" w:rsidRDefault="00943ADF" w:rsidP="00E73279">
      <w:pPr>
        <w:spacing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V katastrálnom území obce Jatov sa neeviduje žiadny výskyt ani ťažba nerastných surovín.</w:t>
      </w:r>
    </w:p>
    <w:p w:rsidR="00943ADF" w:rsidRPr="00E73279" w:rsidRDefault="00943ADF" w:rsidP="00E73279">
      <w:pPr>
        <w:spacing w:line="240" w:lineRule="auto"/>
        <w:jc w:val="both"/>
        <w:rPr>
          <w:rFonts w:ascii="Times New Roman" w:hAnsi="Times New Roman" w:cs="Times New Roman"/>
          <w:sz w:val="24"/>
          <w:szCs w:val="24"/>
          <w:lang w:eastAsia="sk-SK"/>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Chránené územia</w:t>
      </w:r>
    </w:p>
    <w:p w:rsidR="00943ADF" w:rsidRDefault="00E73279" w:rsidP="00E94291">
      <w:pPr>
        <w:spacing w:line="240" w:lineRule="auto"/>
        <w:jc w:val="both"/>
        <w:rPr>
          <w:rFonts w:ascii="Times New Roman" w:hAnsi="Times New Roman" w:cs="Times New Roman"/>
          <w:sz w:val="24"/>
        </w:rPr>
      </w:pPr>
      <w:r w:rsidRPr="00E73279">
        <w:rPr>
          <w:rFonts w:ascii="Times New Roman" w:hAnsi="Times New Roman" w:cs="Times New Roman"/>
          <w:sz w:val="24"/>
        </w:rPr>
        <w:t>V</w:t>
      </w:r>
      <w:r w:rsidR="00943ADF">
        <w:rPr>
          <w:rFonts w:ascii="Times New Roman" w:hAnsi="Times New Roman" w:cs="Times New Roman"/>
          <w:sz w:val="24"/>
        </w:rPr>
        <w:t> </w:t>
      </w:r>
      <w:r w:rsidRPr="00E73279">
        <w:rPr>
          <w:rFonts w:ascii="Times New Roman" w:hAnsi="Times New Roman" w:cs="Times New Roman"/>
          <w:sz w:val="24"/>
        </w:rPr>
        <w:t>katastr</w:t>
      </w:r>
      <w:r w:rsidR="00943ADF">
        <w:rPr>
          <w:rFonts w:ascii="Times New Roman" w:hAnsi="Times New Roman" w:cs="Times New Roman"/>
          <w:sz w:val="24"/>
        </w:rPr>
        <w:t>álnom území</w:t>
      </w:r>
      <w:r w:rsidRPr="00E73279">
        <w:rPr>
          <w:rFonts w:ascii="Times New Roman" w:hAnsi="Times New Roman" w:cs="Times New Roman"/>
          <w:sz w:val="24"/>
        </w:rPr>
        <w:t xml:space="preserve"> obce sa nachádza</w:t>
      </w:r>
      <w:r w:rsidR="00943ADF">
        <w:rPr>
          <w:rFonts w:ascii="Times New Roman" w:hAnsi="Times New Roman" w:cs="Times New Roman"/>
          <w:sz w:val="24"/>
        </w:rPr>
        <w:t>jú nasledovné záujmové oblasti:</w:t>
      </w:r>
    </w:p>
    <w:p w:rsidR="00943ADF" w:rsidRPr="00943ADF" w:rsidRDefault="00943ADF" w:rsidP="00943ADF">
      <w:pPr>
        <w:pStyle w:val="Odsekzoznamu"/>
        <w:numPr>
          <w:ilvl w:val="0"/>
          <w:numId w:val="15"/>
        </w:numPr>
        <w:spacing w:line="240" w:lineRule="auto"/>
        <w:jc w:val="both"/>
        <w:rPr>
          <w:rFonts w:ascii="Times New Roman" w:hAnsi="Times New Roman" w:cs="Times New Roman"/>
          <w:b/>
          <w:i/>
          <w:sz w:val="24"/>
        </w:rPr>
      </w:pPr>
      <w:r>
        <w:rPr>
          <w:rFonts w:ascii="Times New Roman" w:hAnsi="Times New Roman" w:cs="Times New Roman"/>
          <w:sz w:val="24"/>
        </w:rPr>
        <w:t>C</w:t>
      </w:r>
      <w:r w:rsidR="00E73279" w:rsidRPr="00943ADF">
        <w:rPr>
          <w:rFonts w:ascii="Times New Roman" w:hAnsi="Times New Roman" w:cs="Times New Roman"/>
          <w:sz w:val="24"/>
        </w:rPr>
        <w:t xml:space="preserve">hránené vtáčie územie Dolné Považie </w:t>
      </w:r>
      <w:r>
        <w:rPr>
          <w:rFonts w:ascii="Times New Roman" w:hAnsi="Times New Roman" w:cs="Times New Roman"/>
          <w:sz w:val="24"/>
        </w:rPr>
        <w:t xml:space="preserve">vyhlásené </w:t>
      </w:r>
      <w:proofErr w:type="spellStart"/>
      <w:r>
        <w:rPr>
          <w:rFonts w:ascii="Times New Roman" w:hAnsi="Times New Roman" w:cs="Times New Roman"/>
          <w:sz w:val="24"/>
        </w:rPr>
        <w:t>Vyhláškoz</w:t>
      </w:r>
      <w:proofErr w:type="spellEnd"/>
      <w:r>
        <w:rPr>
          <w:rFonts w:ascii="Times New Roman" w:hAnsi="Times New Roman" w:cs="Times New Roman"/>
          <w:sz w:val="24"/>
        </w:rPr>
        <w:t xml:space="preserve"> MŽP SR č. 593/2006 Z. z.,</w:t>
      </w:r>
    </w:p>
    <w:p w:rsidR="002B4C4B" w:rsidRPr="00943ADF" w:rsidRDefault="00E73279" w:rsidP="00943ADF">
      <w:pPr>
        <w:pStyle w:val="Odsekzoznamu"/>
        <w:numPr>
          <w:ilvl w:val="0"/>
          <w:numId w:val="15"/>
        </w:numPr>
        <w:spacing w:line="240" w:lineRule="auto"/>
        <w:jc w:val="both"/>
        <w:rPr>
          <w:rFonts w:ascii="Times New Roman" w:hAnsi="Times New Roman" w:cs="Times New Roman"/>
          <w:b/>
          <w:i/>
          <w:sz w:val="24"/>
        </w:rPr>
      </w:pPr>
      <w:proofErr w:type="spellStart"/>
      <w:r w:rsidRPr="00943ADF">
        <w:rPr>
          <w:rFonts w:ascii="Times New Roman" w:hAnsi="Times New Roman" w:cs="Times New Roman"/>
          <w:sz w:val="24"/>
        </w:rPr>
        <w:t>Slanisko</w:t>
      </w:r>
      <w:proofErr w:type="spellEnd"/>
      <w:r w:rsidRPr="00943ADF">
        <w:rPr>
          <w:rFonts w:ascii="Times New Roman" w:hAnsi="Times New Roman" w:cs="Times New Roman"/>
          <w:sz w:val="24"/>
        </w:rPr>
        <w:t xml:space="preserve"> pri Čiernom vršku</w:t>
      </w:r>
      <w:r w:rsidR="00943ADF">
        <w:rPr>
          <w:rFonts w:ascii="Times New Roman" w:hAnsi="Times New Roman" w:cs="Times New Roman"/>
          <w:sz w:val="24"/>
        </w:rPr>
        <w:t>,</w:t>
      </w:r>
    </w:p>
    <w:p w:rsidR="00943ADF" w:rsidRPr="00943ADF" w:rsidRDefault="00943ADF" w:rsidP="00943ADF">
      <w:pPr>
        <w:pStyle w:val="Odsekzoznamu"/>
        <w:numPr>
          <w:ilvl w:val="0"/>
          <w:numId w:val="15"/>
        </w:numPr>
        <w:spacing w:line="240" w:lineRule="auto"/>
        <w:jc w:val="both"/>
        <w:rPr>
          <w:rFonts w:ascii="Times New Roman" w:hAnsi="Times New Roman" w:cs="Times New Roman"/>
          <w:b/>
          <w:i/>
          <w:sz w:val="24"/>
        </w:rPr>
      </w:pPr>
      <w:r>
        <w:rPr>
          <w:rFonts w:ascii="Times New Roman" w:hAnsi="Times New Roman" w:cs="Times New Roman"/>
          <w:sz w:val="24"/>
        </w:rPr>
        <w:t>Cabajský potok s brehovými porastmi,</w:t>
      </w:r>
    </w:p>
    <w:p w:rsidR="00943ADF" w:rsidRPr="00943ADF" w:rsidRDefault="00943ADF" w:rsidP="00943ADF">
      <w:pPr>
        <w:pStyle w:val="Odsekzoznamu"/>
        <w:numPr>
          <w:ilvl w:val="0"/>
          <w:numId w:val="15"/>
        </w:numPr>
        <w:spacing w:line="240" w:lineRule="auto"/>
        <w:jc w:val="both"/>
        <w:rPr>
          <w:rFonts w:ascii="Times New Roman" w:hAnsi="Times New Roman" w:cs="Times New Roman"/>
          <w:b/>
          <w:i/>
          <w:sz w:val="24"/>
        </w:rPr>
      </w:pPr>
      <w:r>
        <w:rPr>
          <w:rFonts w:ascii="Times New Roman" w:hAnsi="Times New Roman" w:cs="Times New Roman"/>
          <w:sz w:val="24"/>
        </w:rPr>
        <w:t>Vodná nádrž Jatov.</w:t>
      </w:r>
    </w:p>
    <w:p w:rsidR="002B4C4B" w:rsidRPr="00E73279" w:rsidRDefault="002B4C4B" w:rsidP="00E73279">
      <w:pPr>
        <w:spacing w:line="240" w:lineRule="auto"/>
        <w:rPr>
          <w:rFonts w:ascii="Times New Roman" w:hAnsi="Times New Roman" w:cs="Times New Roman"/>
          <w:b/>
          <w:i/>
          <w:sz w:val="24"/>
        </w:rPr>
      </w:pPr>
    </w:p>
    <w:p w:rsidR="002B4C4B" w:rsidRDefault="002B4C4B" w:rsidP="00C119AA">
      <w:pPr>
        <w:pStyle w:val="Odsekzoznamu"/>
        <w:numPr>
          <w:ilvl w:val="2"/>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Demografické zdroje</w:t>
      </w:r>
    </w:p>
    <w:p w:rsidR="006F5D6E" w:rsidRPr="006F5D6E" w:rsidRDefault="006F5D6E" w:rsidP="006F5D6E">
      <w:pPr>
        <w:spacing w:line="240" w:lineRule="auto"/>
        <w:jc w:val="both"/>
        <w:rPr>
          <w:rFonts w:ascii="Times New Roman" w:hAnsi="Times New Roman" w:cs="Times New Roman"/>
          <w:sz w:val="24"/>
          <w:szCs w:val="24"/>
        </w:rPr>
      </w:pPr>
      <w:r w:rsidRPr="006F5D6E">
        <w:rPr>
          <w:rFonts w:ascii="Times New Roman" w:hAnsi="Times New Roman" w:cs="Times New Roman"/>
          <w:sz w:val="24"/>
          <w:szCs w:val="24"/>
        </w:rPr>
        <w:t xml:space="preserve">V tejto kapitole sa zaoberáme demografickým potenciálom obce </w:t>
      </w:r>
      <w:r>
        <w:rPr>
          <w:rFonts w:ascii="Times New Roman" w:hAnsi="Times New Roman" w:cs="Times New Roman"/>
          <w:sz w:val="24"/>
          <w:szCs w:val="24"/>
        </w:rPr>
        <w:t>Jatov</w:t>
      </w:r>
      <w:r w:rsidRPr="006F5D6E">
        <w:rPr>
          <w:rFonts w:ascii="Times New Roman" w:hAnsi="Times New Roman" w:cs="Times New Roman"/>
          <w:sz w:val="24"/>
          <w:szCs w:val="24"/>
        </w:rPr>
        <w:t>. Výsledky demografickej situácie a štruktúry sú spracované v 10 – ročnom trende.</w:t>
      </w:r>
    </w:p>
    <w:p w:rsidR="00E94291" w:rsidRPr="00E94291" w:rsidRDefault="00E94291" w:rsidP="00E94291">
      <w:pPr>
        <w:spacing w:line="240" w:lineRule="auto"/>
        <w:jc w:val="both"/>
        <w:rPr>
          <w:rFonts w:ascii="Times New Roman" w:hAnsi="Times New Roman" w:cs="Times New Roman"/>
          <w:b/>
          <w:sz w:val="28"/>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Počet obyvateľov</w:t>
      </w:r>
    </w:p>
    <w:p w:rsidR="00C84E64" w:rsidRPr="00C84E64" w:rsidRDefault="00C84E64" w:rsidP="00C84E64">
      <w:pPr>
        <w:spacing w:line="240" w:lineRule="auto"/>
        <w:jc w:val="both"/>
        <w:rPr>
          <w:rFonts w:ascii="Times New Roman" w:hAnsi="Times New Roman" w:cs="Times New Roman"/>
          <w:sz w:val="24"/>
          <w:szCs w:val="24"/>
        </w:rPr>
      </w:pPr>
      <w:r w:rsidRPr="00C84E64">
        <w:rPr>
          <w:rFonts w:ascii="Times New Roman" w:hAnsi="Times New Roman" w:cs="Times New Roman"/>
          <w:sz w:val="24"/>
          <w:szCs w:val="24"/>
        </w:rPr>
        <w:lastRenderedPageBreak/>
        <w:t xml:space="preserve">Obec </w:t>
      </w:r>
      <w:r>
        <w:rPr>
          <w:rFonts w:ascii="Times New Roman" w:hAnsi="Times New Roman" w:cs="Times New Roman"/>
          <w:sz w:val="24"/>
          <w:szCs w:val="24"/>
        </w:rPr>
        <w:t>Jatov</w:t>
      </w:r>
      <w:r w:rsidRPr="00C84E64">
        <w:rPr>
          <w:rFonts w:ascii="Times New Roman" w:hAnsi="Times New Roman" w:cs="Times New Roman"/>
          <w:sz w:val="24"/>
          <w:szCs w:val="24"/>
        </w:rPr>
        <w:t xml:space="preserve"> patrí medzi </w:t>
      </w:r>
      <w:r>
        <w:rPr>
          <w:rFonts w:ascii="Times New Roman" w:hAnsi="Times New Roman" w:cs="Times New Roman"/>
          <w:sz w:val="24"/>
          <w:szCs w:val="24"/>
        </w:rPr>
        <w:t>stredne veľké obce</w:t>
      </w:r>
      <w:r w:rsidRPr="00C84E64">
        <w:rPr>
          <w:rFonts w:ascii="Times New Roman" w:hAnsi="Times New Roman" w:cs="Times New Roman"/>
          <w:sz w:val="24"/>
          <w:szCs w:val="24"/>
        </w:rPr>
        <w:t xml:space="preserve">. Počet obyvateľov </w:t>
      </w:r>
      <w:r>
        <w:rPr>
          <w:rFonts w:ascii="Times New Roman" w:hAnsi="Times New Roman" w:cs="Times New Roman"/>
          <w:sz w:val="24"/>
          <w:szCs w:val="24"/>
        </w:rPr>
        <w:t xml:space="preserve">k 31.12. </w:t>
      </w:r>
      <w:r w:rsidRPr="00C84E64">
        <w:rPr>
          <w:rFonts w:ascii="Times New Roman" w:hAnsi="Times New Roman" w:cs="Times New Roman"/>
          <w:sz w:val="24"/>
          <w:szCs w:val="24"/>
        </w:rPr>
        <w:t xml:space="preserve">od roku 2005 </w:t>
      </w:r>
      <w:r>
        <w:rPr>
          <w:rFonts w:ascii="Times New Roman" w:hAnsi="Times New Roman" w:cs="Times New Roman"/>
          <w:sz w:val="24"/>
          <w:szCs w:val="24"/>
        </w:rPr>
        <w:t xml:space="preserve">do roku 2007 klesol o 1,8 %. Do roku 2011 bolo v obci okolo 775 </w:t>
      </w:r>
      <w:r w:rsidR="00294DEE">
        <w:rPr>
          <w:rFonts w:ascii="Times New Roman" w:hAnsi="Times New Roman" w:cs="Times New Roman"/>
          <w:sz w:val="24"/>
          <w:szCs w:val="24"/>
        </w:rPr>
        <w:t>obyvateľov, od roku 2011 sa začal počet zvyšovať. K 31.12.2014 bolo v obci 780 obyvateľov.</w:t>
      </w:r>
    </w:p>
    <w:p w:rsidR="00C84E64" w:rsidRPr="00C84E64" w:rsidRDefault="00C84E64" w:rsidP="00C84E64">
      <w:pPr>
        <w:spacing w:line="240" w:lineRule="auto"/>
        <w:jc w:val="both"/>
        <w:rPr>
          <w:rFonts w:ascii="Times New Roman" w:hAnsi="Times New Roman" w:cs="Times New Roman"/>
          <w:sz w:val="24"/>
        </w:rPr>
      </w:pPr>
      <w:r>
        <w:rPr>
          <w:rFonts w:ascii="Times New Roman" w:hAnsi="Times New Roman" w:cs="Times New Roman"/>
          <w:sz w:val="24"/>
        </w:rPr>
        <w:t>Tabuľka – Počet obyvateľov k 3.12.</w:t>
      </w:r>
    </w:p>
    <w:tbl>
      <w:tblPr>
        <w:tblW w:w="8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620"/>
        <w:gridCol w:w="620"/>
        <w:gridCol w:w="620"/>
        <w:gridCol w:w="620"/>
        <w:gridCol w:w="620"/>
        <w:gridCol w:w="620"/>
        <w:gridCol w:w="620"/>
        <w:gridCol w:w="620"/>
        <w:gridCol w:w="620"/>
        <w:gridCol w:w="620"/>
      </w:tblGrid>
      <w:tr w:rsidR="00C84E64" w:rsidRPr="00C84E64" w:rsidTr="00C84E64">
        <w:trPr>
          <w:trHeight w:val="330"/>
        </w:trPr>
        <w:tc>
          <w:tcPr>
            <w:tcW w:w="1985" w:type="dxa"/>
            <w:shd w:val="clear" w:color="auto" w:fill="auto"/>
            <w:noWrap/>
            <w:vAlign w:val="bottom"/>
            <w:hideMark/>
          </w:tcPr>
          <w:p w:rsidR="00C84E64" w:rsidRPr="00C84E64" w:rsidRDefault="00C84E64" w:rsidP="00C84E64">
            <w:pPr>
              <w:spacing w:after="0" w:line="240" w:lineRule="auto"/>
              <w:rPr>
                <w:rFonts w:ascii="Times New Roman" w:eastAsia="Times New Roman" w:hAnsi="Times New Roman" w:cs="Times New Roman"/>
                <w:b/>
                <w:color w:val="000000"/>
                <w:sz w:val="24"/>
                <w:szCs w:val="24"/>
                <w:lang w:eastAsia="sk-SK"/>
              </w:rPr>
            </w:pP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2005</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2006</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2007</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2008</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2009</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2010</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2011</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2012</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2013</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2014</w:t>
            </w:r>
          </w:p>
        </w:tc>
      </w:tr>
      <w:tr w:rsidR="00C84E64" w:rsidRPr="00C84E64" w:rsidTr="00C84E64">
        <w:trPr>
          <w:trHeight w:val="330"/>
        </w:trPr>
        <w:tc>
          <w:tcPr>
            <w:tcW w:w="1985" w:type="dxa"/>
            <w:shd w:val="clear" w:color="auto" w:fill="auto"/>
            <w:noWrap/>
            <w:vAlign w:val="bottom"/>
            <w:hideMark/>
          </w:tcPr>
          <w:p w:rsidR="00C84E64" w:rsidRPr="00C84E64" w:rsidRDefault="00C84E64" w:rsidP="00C84E64">
            <w:pPr>
              <w:spacing w:after="0" w:line="240" w:lineRule="auto"/>
              <w:rPr>
                <w:rFonts w:ascii="Times New Roman" w:eastAsia="Times New Roman" w:hAnsi="Times New Roman" w:cs="Times New Roman"/>
                <w:b/>
                <w:color w:val="000000"/>
                <w:sz w:val="24"/>
                <w:szCs w:val="24"/>
                <w:lang w:eastAsia="sk-SK"/>
              </w:rPr>
            </w:pPr>
            <w:r w:rsidRPr="00C84E64">
              <w:rPr>
                <w:rFonts w:ascii="Times New Roman" w:eastAsia="Times New Roman" w:hAnsi="Times New Roman" w:cs="Times New Roman"/>
                <w:b/>
                <w:color w:val="000000"/>
                <w:sz w:val="24"/>
                <w:szCs w:val="24"/>
                <w:lang w:eastAsia="sk-SK"/>
              </w:rPr>
              <w:t>Počet obyvateľov</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789</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781</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775</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777</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774</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777</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776</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780</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783</w:t>
            </w:r>
          </w:p>
        </w:tc>
        <w:tc>
          <w:tcPr>
            <w:tcW w:w="620" w:type="dxa"/>
            <w:shd w:val="clear" w:color="auto" w:fill="auto"/>
            <w:noWrap/>
            <w:vAlign w:val="bottom"/>
            <w:hideMark/>
          </w:tcPr>
          <w:p w:rsidR="00C84E64" w:rsidRPr="00C84E64" w:rsidRDefault="00C84E64" w:rsidP="00C84E64">
            <w:pPr>
              <w:spacing w:after="0" w:line="240" w:lineRule="auto"/>
              <w:jc w:val="right"/>
              <w:rPr>
                <w:rFonts w:ascii="Times New Roman" w:eastAsia="Times New Roman" w:hAnsi="Times New Roman" w:cs="Times New Roman"/>
                <w:color w:val="000000"/>
                <w:sz w:val="24"/>
                <w:szCs w:val="24"/>
                <w:lang w:eastAsia="sk-SK"/>
              </w:rPr>
            </w:pPr>
            <w:r w:rsidRPr="00C84E64">
              <w:rPr>
                <w:rFonts w:ascii="Times New Roman" w:eastAsia="Times New Roman" w:hAnsi="Times New Roman" w:cs="Times New Roman"/>
                <w:color w:val="000000"/>
                <w:sz w:val="24"/>
                <w:szCs w:val="24"/>
                <w:lang w:eastAsia="sk-SK"/>
              </w:rPr>
              <w:t>783</w:t>
            </w:r>
          </w:p>
        </w:tc>
      </w:tr>
    </w:tbl>
    <w:p w:rsidR="00C84E64" w:rsidRDefault="00C84E64" w:rsidP="00C84E64">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294DEE" w:rsidRDefault="00294DEE" w:rsidP="00C84E64">
      <w:pPr>
        <w:spacing w:line="240" w:lineRule="auto"/>
        <w:jc w:val="both"/>
        <w:rPr>
          <w:rFonts w:ascii="Times New Roman" w:hAnsi="Times New Roman" w:cs="Times New Roman"/>
          <w:sz w:val="24"/>
        </w:rPr>
      </w:pPr>
      <w:r>
        <w:rPr>
          <w:rFonts w:ascii="Times New Roman" w:hAnsi="Times New Roman" w:cs="Times New Roman"/>
          <w:sz w:val="24"/>
        </w:rPr>
        <w:t>Graf – Počet obyvateľov k 31.12.</w:t>
      </w:r>
    </w:p>
    <w:p w:rsidR="00C84E64" w:rsidRDefault="00C84E64" w:rsidP="00C84E64">
      <w:pPr>
        <w:spacing w:line="240" w:lineRule="auto"/>
        <w:jc w:val="both"/>
        <w:rPr>
          <w:rFonts w:ascii="Times New Roman" w:hAnsi="Times New Roman" w:cs="Times New Roman"/>
          <w:sz w:val="24"/>
        </w:rPr>
      </w:pPr>
      <w:r w:rsidRPr="00C84E64">
        <w:rPr>
          <w:rFonts w:ascii="Times New Roman" w:hAnsi="Times New Roman" w:cs="Times New Roman"/>
          <w:noProof/>
          <w:sz w:val="24"/>
          <w:lang w:eastAsia="sk-SK"/>
        </w:rPr>
        <w:drawing>
          <wp:inline distT="0" distB="0" distL="0" distR="0">
            <wp:extent cx="5760720" cy="2160117"/>
            <wp:effectExtent l="19050" t="0" r="1143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4DEE" w:rsidRDefault="00294DEE" w:rsidP="00C84E64">
      <w:pPr>
        <w:spacing w:line="240" w:lineRule="auto"/>
        <w:jc w:val="both"/>
        <w:rPr>
          <w:rFonts w:ascii="Times New Roman" w:hAnsi="Times New Roman" w:cs="Times New Roman"/>
          <w:sz w:val="24"/>
        </w:rPr>
      </w:pPr>
      <w:r>
        <w:rPr>
          <w:rFonts w:ascii="Times New Roman" w:hAnsi="Times New Roman" w:cs="Times New Roman"/>
          <w:sz w:val="24"/>
        </w:rPr>
        <w:t>Zdroj: Tabuľka</w:t>
      </w:r>
    </w:p>
    <w:p w:rsidR="00294DEE" w:rsidRDefault="00A82B11" w:rsidP="00C84E64">
      <w:pPr>
        <w:spacing w:line="240" w:lineRule="auto"/>
        <w:jc w:val="both"/>
        <w:rPr>
          <w:rFonts w:ascii="Times New Roman" w:hAnsi="Times New Roman" w:cs="Times New Roman"/>
          <w:sz w:val="24"/>
        </w:rPr>
      </w:pPr>
      <w:r>
        <w:rPr>
          <w:rFonts w:ascii="Times New Roman" w:hAnsi="Times New Roman" w:cs="Times New Roman"/>
          <w:sz w:val="24"/>
        </w:rPr>
        <w:t xml:space="preserve">V roku 2005 tvorila mužská populácia väčšinový podiel z celkového počtu obyvateľov a to 50,8 %. V roku 2012 sa počet žien prevýšil nad počet mužov. Za celých 10 rokov sa počet mužov znížil o 3,5 %, v prípade žien ide o zvýšenie počtu o 1,3 %. </w:t>
      </w:r>
    </w:p>
    <w:p w:rsidR="00294DEE" w:rsidRDefault="00294DEE" w:rsidP="00C84E64">
      <w:pPr>
        <w:spacing w:line="240" w:lineRule="auto"/>
        <w:jc w:val="both"/>
        <w:rPr>
          <w:rFonts w:ascii="Times New Roman" w:hAnsi="Times New Roman" w:cs="Times New Roman"/>
          <w:sz w:val="24"/>
        </w:rPr>
      </w:pPr>
      <w:r>
        <w:rPr>
          <w:rFonts w:ascii="Times New Roman" w:hAnsi="Times New Roman" w:cs="Times New Roman"/>
          <w:sz w:val="24"/>
        </w:rPr>
        <w:t>Tabuľka – Pohlavná štruktúra</w:t>
      </w:r>
    </w:p>
    <w:tbl>
      <w:tblPr>
        <w:tblW w:w="8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794"/>
        <w:gridCol w:w="794"/>
        <w:gridCol w:w="794"/>
        <w:gridCol w:w="794"/>
        <w:gridCol w:w="794"/>
        <w:gridCol w:w="794"/>
        <w:gridCol w:w="794"/>
        <w:gridCol w:w="794"/>
        <w:gridCol w:w="794"/>
        <w:gridCol w:w="794"/>
      </w:tblGrid>
      <w:tr w:rsidR="00294DEE" w:rsidRPr="00294DEE" w:rsidTr="00294DEE">
        <w:trPr>
          <w:trHeight w:val="330"/>
        </w:trPr>
        <w:tc>
          <w:tcPr>
            <w:tcW w:w="850" w:type="dxa"/>
            <w:shd w:val="clear" w:color="auto" w:fill="auto"/>
            <w:noWrap/>
            <w:vAlign w:val="bottom"/>
            <w:hideMark/>
          </w:tcPr>
          <w:p w:rsidR="00294DEE" w:rsidRPr="00294DEE" w:rsidRDefault="00294DEE" w:rsidP="00294DEE">
            <w:pPr>
              <w:spacing w:after="0" w:line="240" w:lineRule="auto"/>
              <w:rPr>
                <w:rFonts w:ascii="Times New Roman" w:eastAsia="Times New Roman" w:hAnsi="Times New Roman" w:cs="Times New Roman"/>
                <w:b/>
                <w:color w:val="000000"/>
                <w:sz w:val="24"/>
                <w:szCs w:val="24"/>
                <w:lang w:eastAsia="sk-SK"/>
              </w:rPr>
            </w:pP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2005</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2006</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2007</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2008</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2009</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2010</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2011</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2012</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2013</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2014</w:t>
            </w:r>
          </w:p>
        </w:tc>
      </w:tr>
      <w:tr w:rsidR="00294DEE" w:rsidRPr="00294DEE" w:rsidTr="00294DEE">
        <w:trPr>
          <w:trHeight w:val="330"/>
        </w:trPr>
        <w:tc>
          <w:tcPr>
            <w:tcW w:w="850" w:type="dxa"/>
            <w:shd w:val="clear" w:color="auto" w:fill="auto"/>
            <w:noWrap/>
            <w:vAlign w:val="bottom"/>
            <w:hideMark/>
          </w:tcPr>
          <w:p w:rsidR="00294DEE" w:rsidRPr="00294DEE" w:rsidRDefault="00294DEE" w:rsidP="00294DEE">
            <w:pPr>
              <w:spacing w:after="0" w:line="240" w:lineRule="auto"/>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Ženy</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388</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384</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384</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387</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382</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382</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383</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393</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395</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393</w:t>
            </w:r>
          </w:p>
        </w:tc>
      </w:tr>
      <w:tr w:rsidR="00294DEE" w:rsidRPr="00294DEE" w:rsidTr="00294DEE">
        <w:trPr>
          <w:trHeight w:val="330"/>
        </w:trPr>
        <w:tc>
          <w:tcPr>
            <w:tcW w:w="850" w:type="dxa"/>
            <w:shd w:val="clear" w:color="auto" w:fill="auto"/>
            <w:noWrap/>
            <w:vAlign w:val="bottom"/>
            <w:hideMark/>
          </w:tcPr>
          <w:p w:rsidR="00294DEE" w:rsidRPr="00294DEE" w:rsidRDefault="00294DEE" w:rsidP="00294DEE">
            <w:pPr>
              <w:spacing w:after="0" w:line="240" w:lineRule="auto"/>
              <w:rPr>
                <w:rFonts w:ascii="Times New Roman" w:eastAsia="Times New Roman" w:hAnsi="Times New Roman" w:cs="Times New Roman"/>
                <w:b/>
                <w:color w:val="000000"/>
                <w:sz w:val="24"/>
                <w:szCs w:val="24"/>
                <w:lang w:eastAsia="sk-SK"/>
              </w:rPr>
            </w:pPr>
            <w:r w:rsidRPr="00294DEE">
              <w:rPr>
                <w:rFonts w:ascii="Times New Roman" w:eastAsia="Times New Roman" w:hAnsi="Times New Roman" w:cs="Times New Roman"/>
                <w:b/>
                <w:color w:val="000000"/>
                <w:sz w:val="24"/>
                <w:szCs w:val="24"/>
                <w:lang w:eastAsia="sk-SK"/>
              </w:rPr>
              <w:t>Muži</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401</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397</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391</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390</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392</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395</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393</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387</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388</w:t>
            </w:r>
          </w:p>
        </w:tc>
        <w:tc>
          <w:tcPr>
            <w:tcW w:w="794" w:type="dxa"/>
            <w:shd w:val="clear" w:color="auto" w:fill="auto"/>
            <w:noWrap/>
            <w:vAlign w:val="bottom"/>
            <w:hideMark/>
          </w:tcPr>
          <w:p w:rsidR="00294DEE" w:rsidRPr="00294DEE" w:rsidRDefault="00294DEE" w:rsidP="00294DEE">
            <w:pPr>
              <w:spacing w:after="0" w:line="240" w:lineRule="auto"/>
              <w:jc w:val="right"/>
              <w:rPr>
                <w:rFonts w:ascii="Times New Roman" w:eastAsia="Times New Roman" w:hAnsi="Times New Roman" w:cs="Times New Roman"/>
                <w:color w:val="000000"/>
                <w:sz w:val="24"/>
                <w:szCs w:val="24"/>
                <w:lang w:eastAsia="sk-SK"/>
              </w:rPr>
            </w:pPr>
            <w:r w:rsidRPr="00294DEE">
              <w:rPr>
                <w:rFonts w:ascii="Times New Roman" w:eastAsia="Times New Roman" w:hAnsi="Times New Roman" w:cs="Times New Roman"/>
                <w:color w:val="000000"/>
                <w:sz w:val="24"/>
                <w:szCs w:val="24"/>
                <w:lang w:eastAsia="sk-SK"/>
              </w:rPr>
              <w:t>387</w:t>
            </w:r>
          </w:p>
        </w:tc>
      </w:tr>
    </w:tbl>
    <w:p w:rsidR="00294DEE" w:rsidRDefault="00294DEE" w:rsidP="00C84E64">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294DEE" w:rsidRDefault="00294DEE" w:rsidP="00C84E64">
      <w:pPr>
        <w:spacing w:line="240" w:lineRule="auto"/>
        <w:jc w:val="both"/>
        <w:rPr>
          <w:rFonts w:ascii="Times New Roman" w:hAnsi="Times New Roman" w:cs="Times New Roman"/>
          <w:sz w:val="24"/>
        </w:rPr>
      </w:pPr>
      <w:r>
        <w:rPr>
          <w:rFonts w:ascii="Times New Roman" w:hAnsi="Times New Roman" w:cs="Times New Roman"/>
          <w:sz w:val="24"/>
        </w:rPr>
        <w:t>Graf – Pohlavná štruktúra</w:t>
      </w:r>
    </w:p>
    <w:p w:rsidR="00294DEE" w:rsidRDefault="00294DEE" w:rsidP="00C84E64">
      <w:pPr>
        <w:spacing w:line="240" w:lineRule="auto"/>
        <w:jc w:val="both"/>
        <w:rPr>
          <w:rFonts w:ascii="Times New Roman" w:hAnsi="Times New Roman" w:cs="Times New Roman"/>
          <w:sz w:val="24"/>
        </w:rPr>
      </w:pPr>
      <w:r w:rsidRPr="00294DEE">
        <w:rPr>
          <w:rFonts w:ascii="Times New Roman" w:hAnsi="Times New Roman" w:cs="Times New Roman"/>
          <w:noProof/>
          <w:sz w:val="24"/>
          <w:lang w:eastAsia="sk-SK"/>
        </w:rPr>
        <w:lastRenderedPageBreak/>
        <w:drawing>
          <wp:inline distT="0" distB="0" distL="0" distR="0">
            <wp:extent cx="5214938" cy="2238374"/>
            <wp:effectExtent l="19050" t="0" r="23812" b="0"/>
            <wp:docPr id="5"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2B11" w:rsidRDefault="00A82B11" w:rsidP="00C84E64">
      <w:pPr>
        <w:spacing w:line="240" w:lineRule="auto"/>
        <w:jc w:val="both"/>
        <w:rPr>
          <w:rFonts w:ascii="Times New Roman" w:hAnsi="Times New Roman" w:cs="Times New Roman"/>
          <w:sz w:val="24"/>
        </w:rPr>
      </w:pPr>
      <w:r>
        <w:rPr>
          <w:rFonts w:ascii="Times New Roman" w:hAnsi="Times New Roman" w:cs="Times New Roman"/>
          <w:sz w:val="24"/>
        </w:rPr>
        <w:t>Zdroj: Tabuľka</w:t>
      </w:r>
    </w:p>
    <w:p w:rsidR="00A82B11" w:rsidRPr="00C84E64" w:rsidRDefault="00A82B11" w:rsidP="00C84E64">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Demografické pohyby obyvateľstva</w:t>
      </w:r>
    </w:p>
    <w:p w:rsidR="00A82B11" w:rsidRDefault="00A82B11" w:rsidP="00A82B11">
      <w:pPr>
        <w:spacing w:line="240" w:lineRule="auto"/>
        <w:jc w:val="both"/>
        <w:rPr>
          <w:rFonts w:ascii="Times New Roman" w:hAnsi="Times New Roman" w:cs="Times New Roman"/>
          <w:sz w:val="24"/>
        </w:rPr>
      </w:pPr>
      <w:r>
        <w:rPr>
          <w:rFonts w:ascii="Times New Roman" w:hAnsi="Times New Roman" w:cs="Times New Roman"/>
          <w:sz w:val="24"/>
        </w:rPr>
        <w:t>V obci Jatov je mortalita a natalita evidovaná za posledných 10 rokov nasledovne:</w:t>
      </w:r>
    </w:p>
    <w:p w:rsidR="00A82B11" w:rsidRDefault="00A82B11" w:rsidP="00A82B11">
      <w:pPr>
        <w:spacing w:line="240" w:lineRule="auto"/>
        <w:jc w:val="both"/>
        <w:rPr>
          <w:rFonts w:ascii="Times New Roman" w:hAnsi="Times New Roman" w:cs="Times New Roman"/>
          <w:sz w:val="24"/>
        </w:rPr>
      </w:pPr>
      <w:r>
        <w:rPr>
          <w:rFonts w:ascii="Times New Roman" w:hAnsi="Times New Roman" w:cs="Times New Roman"/>
          <w:sz w:val="24"/>
        </w:rPr>
        <w:t>Tabuľka – Natalita a mortalita</w:t>
      </w:r>
    </w:p>
    <w:tbl>
      <w:tblPr>
        <w:tblW w:w="90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94"/>
        <w:gridCol w:w="794"/>
        <w:gridCol w:w="794"/>
        <w:gridCol w:w="794"/>
        <w:gridCol w:w="794"/>
        <w:gridCol w:w="794"/>
        <w:gridCol w:w="794"/>
        <w:gridCol w:w="794"/>
        <w:gridCol w:w="794"/>
        <w:gridCol w:w="794"/>
      </w:tblGrid>
      <w:tr w:rsidR="00A82B11" w:rsidRPr="00A82B11" w:rsidTr="00A82B11">
        <w:trPr>
          <w:trHeight w:val="283"/>
        </w:trPr>
        <w:tc>
          <w:tcPr>
            <w:tcW w:w="1134" w:type="dxa"/>
            <w:shd w:val="clear" w:color="auto" w:fill="auto"/>
            <w:noWrap/>
            <w:vAlign w:val="bottom"/>
            <w:hideMark/>
          </w:tcPr>
          <w:p w:rsidR="00A82B11" w:rsidRPr="00A82B11" w:rsidRDefault="00A82B11" w:rsidP="00A82B11">
            <w:pPr>
              <w:spacing w:after="0" w:line="240" w:lineRule="auto"/>
              <w:rPr>
                <w:rFonts w:ascii="Times New Roman" w:eastAsia="Times New Roman" w:hAnsi="Times New Roman" w:cs="Times New Roman"/>
                <w:color w:val="000000"/>
                <w:sz w:val="24"/>
                <w:lang w:eastAsia="sk-SK"/>
              </w:rPr>
            </w:pP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2005</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2006</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2007</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2008</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2009</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2010</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2011</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2012</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2013</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2014</w:t>
            </w:r>
          </w:p>
        </w:tc>
      </w:tr>
      <w:tr w:rsidR="00A82B11" w:rsidRPr="00A82B11" w:rsidTr="00A82B11">
        <w:trPr>
          <w:trHeight w:val="283"/>
        </w:trPr>
        <w:tc>
          <w:tcPr>
            <w:tcW w:w="1134" w:type="dxa"/>
            <w:shd w:val="clear" w:color="auto" w:fill="auto"/>
            <w:noWrap/>
            <w:vAlign w:val="bottom"/>
            <w:hideMark/>
          </w:tcPr>
          <w:p w:rsidR="00A82B11" w:rsidRPr="00A82B11" w:rsidRDefault="00A82B11" w:rsidP="00A82B11">
            <w:pPr>
              <w:spacing w:after="0" w:line="240" w:lineRule="auto"/>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živonarodení</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5</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6</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7</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2</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5</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8</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10</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14</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4</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4</w:t>
            </w:r>
          </w:p>
        </w:tc>
      </w:tr>
      <w:tr w:rsidR="00A82B11" w:rsidRPr="00A82B11" w:rsidTr="00A82B11">
        <w:trPr>
          <w:trHeight w:val="283"/>
        </w:trPr>
        <w:tc>
          <w:tcPr>
            <w:tcW w:w="1134" w:type="dxa"/>
            <w:shd w:val="clear" w:color="auto" w:fill="auto"/>
            <w:noWrap/>
            <w:vAlign w:val="bottom"/>
            <w:hideMark/>
          </w:tcPr>
          <w:p w:rsidR="00A82B11" w:rsidRPr="00A82B11" w:rsidRDefault="00A82B11" w:rsidP="00A82B11">
            <w:pPr>
              <w:spacing w:after="0" w:line="240" w:lineRule="auto"/>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zomrelí</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12</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13</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15</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17</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8</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4</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16</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11</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9</w:t>
            </w:r>
          </w:p>
        </w:tc>
        <w:tc>
          <w:tcPr>
            <w:tcW w:w="794" w:type="dxa"/>
            <w:shd w:val="clear" w:color="auto" w:fill="auto"/>
            <w:noWrap/>
            <w:vAlign w:val="bottom"/>
            <w:hideMark/>
          </w:tcPr>
          <w:p w:rsidR="00A82B11" w:rsidRPr="00A82B11" w:rsidRDefault="00A82B11" w:rsidP="00A82B11">
            <w:pPr>
              <w:spacing w:after="0" w:line="240" w:lineRule="auto"/>
              <w:jc w:val="right"/>
              <w:rPr>
                <w:rFonts w:ascii="Times New Roman" w:eastAsia="Times New Roman" w:hAnsi="Times New Roman" w:cs="Times New Roman"/>
                <w:color w:val="000000"/>
                <w:sz w:val="24"/>
                <w:lang w:eastAsia="sk-SK"/>
              </w:rPr>
            </w:pPr>
            <w:r w:rsidRPr="00A82B11">
              <w:rPr>
                <w:rFonts w:ascii="Times New Roman" w:eastAsia="Times New Roman" w:hAnsi="Times New Roman" w:cs="Times New Roman"/>
                <w:color w:val="000000"/>
                <w:sz w:val="24"/>
                <w:lang w:eastAsia="sk-SK"/>
              </w:rPr>
              <w:t>9</w:t>
            </w:r>
          </w:p>
        </w:tc>
      </w:tr>
    </w:tbl>
    <w:p w:rsidR="00A82B11" w:rsidRDefault="00A82B11" w:rsidP="00A82B11">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A82B11" w:rsidRPr="00A82B11" w:rsidRDefault="00A82B11" w:rsidP="00A82B11">
      <w:pPr>
        <w:spacing w:line="240" w:lineRule="auto"/>
        <w:jc w:val="both"/>
        <w:rPr>
          <w:rFonts w:ascii="Times New Roman" w:hAnsi="Times New Roman" w:cs="Times New Roman"/>
          <w:sz w:val="24"/>
        </w:rPr>
      </w:pPr>
      <w:r>
        <w:rPr>
          <w:rFonts w:ascii="Times New Roman" w:hAnsi="Times New Roman" w:cs="Times New Roman"/>
          <w:sz w:val="24"/>
        </w:rPr>
        <w:t>Graf – Natalita a mortalita</w:t>
      </w:r>
    </w:p>
    <w:p w:rsidR="00A82B11" w:rsidRDefault="00A82B11" w:rsidP="00A82B11">
      <w:pPr>
        <w:spacing w:line="240" w:lineRule="auto"/>
        <w:jc w:val="both"/>
        <w:rPr>
          <w:rFonts w:ascii="Times New Roman" w:hAnsi="Times New Roman" w:cs="Times New Roman"/>
          <w:b/>
          <w:i/>
          <w:sz w:val="24"/>
        </w:rPr>
      </w:pPr>
      <w:r w:rsidRPr="00A82B11">
        <w:rPr>
          <w:rFonts w:ascii="Times New Roman" w:hAnsi="Times New Roman" w:cs="Times New Roman"/>
          <w:b/>
          <w:i/>
          <w:noProof/>
          <w:sz w:val="24"/>
          <w:lang w:eastAsia="sk-SK"/>
        </w:rPr>
        <w:drawing>
          <wp:inline distT="0" distB="0" distL="0" distR="0">
            <wp:extent cx="5211843" cy="2156347"/>
            <wp:effectExtent l="19050" t="0" r="26907" b="0"/>
            <wp:docPr id="6"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2B11" w:rsidRDefault="00A82B11" w:rsidP="00A82B11">
      <w:pPr>
        <w:spacing w:line="240" w:lineRule="auto"/>
        <w:jc w:val="both"/>
        <w:rPr>
          <w:rFonts w:ascii="Times New Roman" w:hAnsi="Times New Roman" w:cs="Times New Roman"/>
          <w:sz w:val="24"/>
        </w:rPr>
      </w:pPr>
      <w:r>
        <w:rPr>
          <w:rFonts w:ascii="Times New Roman" w:hAnsi="Times New Roman" w:cs="Times New Roman"/>
          <w:sz w:val="24"/>
        </w:rPr>
        <w:t>Zdroj: Tabuľka</w:t>
      </w:r>
    </w:p>
    <w:p w:rsidR="00A82B11" w:rsidRDefault="00733380" w:rsidP="00A82B11">
      <w:pPr>
        <w:spacing w:line="240" w:lineRule="auto"/>
        <w:jc w:val="both"/>
        <w:rPr>
          <w:rFonts w:ascii="Times New Roman" w:hAnsi="Times New Roman" w:cs="Times New Roman"/>
          <w:sz w:val="24"/>
        </w:rPr>
      </w:pPr>
      <w:r>
        <w:rPr>
          <w:rFonts w:ascii="Times New Roman" w:hAnsi="Times New Roman" w:cs="Times New Roman"/>
          <w:sz w:val="24"/>
        </w:rPr>
        <w:t>Okrem rokov 2010 a 2012, prevládala mortalita nad natalitou. Najvyšší počet zomrelých bol v roku 2008 s počtom 17. Najvyšší počet živonarodených bolo v roku 2012 s počtom 14.</w:t>
      </w:r>
    </w:p>
    <w:p w:rsidR="00733380" w:rsidRDefault="00733380" w:rsidP="00A82B11">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Migrácia obyvateľstva</w:t>
      </w:r>
    </w:p>
    <w:p w:rsidR="00733380" w:rsidRPr="005C50EB"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Od roku 2005 stále pribúdajú noví obyvatelia, najviac ľudí sa prisťahovalo v roku 2008 a to 31 ľudí. Najviac vysťahovaných bolo v roku 2014 a to 15 ľudí. </w:t>
      </w:r>
    </w:p>
    <w:tbl>
      <w:tblPr>
        <w:tblW w:w="8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37"/>
        <w:gridCol w:w="737"/>
        <w:gridCol w:w="737"/>
        <w:gridCol w:w="737"/>
        <w:gridCol w:w="737"/>
        <w:gridCol w:w="737"/>
        <w:gridCol w:w="737"/>
        <w:gridCol w:w="737"/>
        <w:gridCol w:w="737"/>
        <w:gridCol w:w="737"/>
      </w:tblGrid>
      <w:tr w:rsidR="005C50EB" w:rsidRPr="005C50EB" w:rsidTr="005C50EB">
        <w:trPr>
          <w:trHeight w:val="330"/>
        </w:trPr>
        <w:tc>
          <w:tcPr>
            <w:tcW w:w="1560" w:type="dxa"/>
            <w:shd w:val="clear" w:color="auto" w:fill="auto"/>
            <w:noWrap/>
            <w:vAlign w:val="bottom"/>
            <w:hideMark/>
          </w:tcPr>
          <w:p w:rsidR="005C50EB" w:rsidRPr="005C50EB" w:rsidRDefault="005C50EB" w:rsidP="005C50EB">
            <w:pPr>
              <w:spacing w:after="0" w:line="240" w:lineRule="auto"/>
              <w:rPr>
                <w:rFonts w:ascii="Times New Roman" w:eastAsia="Times New Roman" w:hAnsi="Times New Roman" w:cs="Times New Roman"/>
                <w:b/>
                <w:color w:val="000000"/>
                <w:sz w:val="24"/>
                <w:lang w:eastAsia="sk-SK"/>
              </w:rPr>
            </w:pP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2005</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2006</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2007</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2008</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2009</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2010</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2011</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2012</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2013</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2014</w:t>
            </w:r>
          </w:p>
        </w:tc>
      </w:tr>
      <w:tr w:rsidR="005C50EB" w:rsidRPr="005C50EB" w:rsidTr="005C50EB">
        <w:trPr>
          <w:trHeight w:val="330"/>
        </w:trPr>
        <w:tc>
          <w:tcPr>
            <w:tcW w:w="1560" w:type="dxa"/>
            <w:shd w:val="clear" w:color="auto" w:fill="auto"/>
            <w:noWrap/>
            <w:vAlign w:val="bottom"/>
            <w:hideMark/>
          </w:tcPr>
          <w:p w:rsidR="005C50EB" w:rsidRPr="005C50EB" w:rsidRDefault="005C50EB" w:rsidP="005C50EB">
            <w:pPr>
              <w:spacing w:after="0" w:line="240" w:lineRule="auto"/>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prisťahovaní</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24</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13</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9</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31</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10</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8</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14</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5</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15</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20</w:t>
            </w:r>
          </w:p>
        </w:tc>
      </w:tr>
      <w:tr w:rsidR="005C50EB" w:rsidRPr="005C50EB" w:rsidTr="005C50EB">
        <w:trPr>
          <w:trHeight w:val="330"/>
        </w:trPr>
        <w:tc>
          <w:tcPr>
            <w:tcW w:w="1560" w:type="dxa"/>
            <w:shd w:val="clear" w:color="auto" w:fill="auto"/>
            <w:noWrap/>
            <w:vAlign w:val="bottom"/>
            <w:hideMark/>
          </w:tcPr>
          <w:p w:rsidR="005C50EB" w:rsidRPr="005C50EB" w:rsidRDefault="005C50EB" w:rsidP="005C50EB">
            <w:pPr>
              <w:spacing w:after="0" w:line="240" w:lineRule="auto"/>
              <w:rPr>
                <w:rFonts w:ascii="Times New Roman" w:eastAsia="Times New Roman" w:hAnsi="Times New Roman" w:cs="Times New Roman"/>
                <w:b/>
                <w:color w:val="000000"/>
                <w:sz w:val="24"/>
                <w:lang w:eastAsia="sk-SK"/>
              </w:rPr>
            </w:pPr>
            <w:r w:rsidRPr="005C50EB">
              <w:rPr>
                <w:rFonts w:ascii="Times New Roman" w:eastAsia="Times New Roman" w:hAnsi="Times New Roman" w:cs="Times New Roman"/>
                <w:b/>
                <w:color w:val="000000"/>
                <w:sz w:val="24"/>
                <w:lang w:eastAsia="sk-SK"/>
              </w:rPr>
              <w:t>vysťahovaní</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12</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14</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7</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14</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10</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9</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7</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4</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7</w:t>
            </w:r>
          </w:p>
        </w:tc>
        <w:tc>
          <w:tcPr>
            <w:tcW w:w="737" w:type="dxa"/>
            <w:shd w:val="clear" w:color="auto" w:fill="auto"/>
            <w:noWrap/>
            <w:vAlign w:val="bottom"/>
            <w:hideMark/>
          </w:tcPr>
          <w:p w:rsidR="005C50EB" w:rsidRPr="005C50EB" w:rsidRDefault="005C50EB" w:rsidP="005C50EB">
            <w:pPr>
              <w:spacing w:after="0" w:line="240" w:lineRule="auto"/>
              <w:jc w:val="right"/>
              <w:rPr>
                <w:rFonts w:ascii="Times New Roman" w:eastAsia="Times New Roman" w:hAnsi="Times New Roman" w:cs="Times New Roman"/>
                <w:color w:val="000000"/>
                <w:sz w:val="24"/>
                <w:lang w:eastAsia="sk-SK"/>
              </w:rPr>
            </w:pPr>
            <w:r w:rsidRPr="005C50EB">
              <w:rPr>
                <w:rFonts w:ascii="Times New Roman" w:eastAsia="Times New Roman" w:hAnsi="Times New Roman" w:cs="Times New Roman"/>
                <w:color w:val="000000"/>
                <w:sz w:val="24"/>
                <w:lang w:eastAsia="sk-SK"/>
              </w:rPr>
              <w:t>15</w:t>
            </w:r>
          </w:p>
        </w:tc>
      </w:tr>
    </w:tbl>
    <w:p w:rsidR="00733380" w:rsidRDefault="005C50EB" w:rsidP="00733380">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5C50EB" w:rsidRDefault="005C50EB" w:rsidP="00733380">
      <w:pPr>
        <w:spacing w:line="240" w:lineRule="auto"/>
        <w:jc w:val="both"/>
        <w:rPr>
          <w:rFonts w:ascii="Times New Roman" w:hAnsi="Times New Roman" w:cs="Times New Roman"/>
          <w:sz w:val="24"/>
        </w:rPr>
      </w:pPr>
      <w:r>
        <w:rPr>
          <w:rFonts w:ascii="Times New Roman" w:hAnsi="Times New Roman" w:cs="Times New Roman"/>
          <w:sz w:val="24"/>
        </w:rPr>
        <w:t>Graf – Migrácia obyvateľstva</w:t>
      </w:r>
    </w:p>
    <w:p w:rsidR="005C50EB" w:rsidRDefault="005C50EB" w:rsidP="00733380">
      <w:pPr>
        <w:spacing w:line="240" w:lineRule="auto"/>
        <w:jc w:val="both"/>
        <w:rPr>
          <w:rFonts w:ascii="Times New Roman" w:hAnsi="Times New Roman" w:cs="Times New Roman"/>
          <w:sz w:val="24"/>
        </w:rPr>
      </w:pPr>
      <w:r w:rsidRPr="005C50EB">
        <w:rPr>
          <w:rFonts w:ascii="Times New Roman" w:hAnsi="Times New Roman" w:cs="Times New Roman"/>
          <w:noProof/>
          <w:sz w:val="24"/>
          <w:lang w:eastAsia="sk-SK"/>
        </w:rPr>
        <w:drawing>
          <wp:inline distT="0" distB="0" distL="0" distR="0">
            <wp:extent cx="5344511" cy="2156347"/>
            <wp:effectExtent l="19050" t="0" r="27589" b="0"/>
            <wp:docPr id="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1926"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t>Zdroj: Tabuľka</w:t>
      </w:r>
    </w:p>
    <w:p w:rsidR="00C81926"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t xml:space="preserve">V nasledujúcej tabuľke sa nachádzajú informácie o celkovom pohybe obyvateľstva v obci Jatov. Na grafe vidieť, že demografické a migračné zmeny vytvárajú hodnoty celkového prírastku/úbytku so stúpajúcou tendenciou od roku 2009 do roku 2012. </w:t>
      </w:r>
      <w:r w:rsidR="00873D7E">
        <w:rPr>
          <w:rFonts w:ascii="Times New Roman" w:hAnsi="Times New Roman" w:cs="Times New Roman"/>
          <w:sz w:val="24"/>
        </w:rPr>
        <w:t xml:space="preserve">Celkové saldo má prevažne pozitívny charakter. </w:t>
      </w:r>
      <w:r>
        <w:rPr>
          <w:rFonts w:ascii="Times New Roman" w:hAnsi="Times New Roman" w:cs="Times New Roman"/>
          <w:sz w:val="24"/>
        </w:rPr>
        <w:t>Celkový úbytok v obyvateľstve obce Jatov bol v rokoch 2006</w:t>
      </w:r>
      <w:r w:rsidR="00873D7E">
        <w:rPr>
          <w:rFonts w:ascii="Times New Roman" w:hAnsi="Times New Roman" w:cs="Times New Roman"/>
          <w:sz w:val="24"/>
        </w:rPr>
        <w:t xml:space="preserve">, 2007 a 2009. </w:t>
      </w:r>
    </w:p>
    <w:p w:rsidR="00C81926"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t>Tabuľka – Demografické a migračné saldo, celkový prírastok/úbytok</w:t>
      </w:r>
    </w:p>
    <w:tbl>
      <w:tblPr>
        <w:tblW w:w="76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624"/>
        <w:gridCol w:w="624"/>
        <w:gridCol w:w="624"/>
        <w:gridCol w:w="624"/>
        <w:gridCol w:w="624"/>
        <w:gridCol w:w="624"/>
        <w:gridCol w:w="624"/>
        <w:gridCol w:w="624"/>
        <w:gridCol w:w="624"/>
        <w:gridCol w:w="624"/>
      </w:tblGrid>
      <w:tr w:rsidR="00C81926" w:rsidRPr="00C81926" w:rsidTr="00C81926">
        <w:trPr>
          <w:trHeight w:val="330"/>
        </w:trPr>
        <w:tc>
          <w:tcPr>
            <w:tcW w:w="1418" w:type="dxa"/>
            <w:shd w:val="clear" w:color="auto" w:fill="auto"/>
            <w:noWrap/>
            <w:vAlign w:val="center"/>
            <w:hideMark/>
          </w:tcPr>
          <w:p w:rsidR="00C81926" w:rsidRPr="00C81926" w:rsidRDefault="00C81926" w:rsidP="00C81926">
            <w:pPr>
              <w:spacing w:after="0" w:line="240" w:lineRule="auto"/>
              <w:rPr>
                <w:rFonts w:ascii="Times New Roman" w:eastAsia="Times New Roman" w:hAnsi="Times New Roman" w:cs="Times New Roman"/>
                <w:b/>
                <w:color w:val="000000"/>
                <w:sz w:val="24"/>
                <w:lang w:eastAsia="sk-SK"/>
              </w:rPr>
            </w:pP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2005</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2006</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2007</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2008</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2009</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2010</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2011</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2012</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2013</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2014</w:t>
            </w:r>
          </w:p>
        </w:tc>
      </w:tr>
      <w:tr w:rsidR="00C81926" w:rsidRPr="00C81926" w:rsidTr="00C81926">
        <w:trPr>
          <w:trHeight w:val="330"/>
        </w:trPr>
        <w:tc>
          <w:tcPr>
            <w:tcW w:w="1418" w:type="dxa"/>
            <w:shd w:val="clear" w:color="auto" w:fill="auto"/>
            <w:noWrap/>
            <w:vAlign w:val="center"/>
            <w:hideMark/>
          </w:tcPr>
          <w:p w:rsidR="00C81926" w:rsidRPr="00C81926" w:rsidRDefault="00C81926" w:rsidP="00C81926">
            <w:pPr>
              <w:spacing w:after="0" w:line="240" w:lineRule="auto"/>
              <w:rPr>
                <w:rFonts w:ascii="Times New Roman" w:eastAsia="Times New Roman" w:hAnsi="Times New Roman" w:cs="Times New Roman"/>
                <w:b/>
                <w:color w:val="000000"/>
                <w:sz w:val="24"/>
                <w:lang w:eastAsia="sk-SK"/>
              </w:rPr>
            </w:pPr>
            <w:r w:rsidRPr="00C81926">
              <w:rPr>
                <w:rFonts w:ascii="Times New Roman" w:eastAsia="Times New Roman" w:hAnsi="Times New Roman" w:cs="Times New Roman"/>
                <w:b/>
                <w:color w:val="000000"/>
                <w:sz w:val="24"/>
                <w:lang w:eastAsia="sk-SK"/>
              </w:rPr>
              <w:t>Demografické saldo</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-7</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-7</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-8</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-15</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-3</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4</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-6</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3</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-5</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-5</w:t>
            </w:r>
          </w:p>
        </w:tc>
      </w:tr>
      <w:tr w:rsidR="00C81926" w:rsidRPr="00C81926" w:rsidTr="00C81926">
        <w:trPr>
          <w:trHeight w:val="330"/>
        </w:trPr>
        <w:tc>
          <w:tcPr>
            <w:tcW w:w="1418" w:type="dxa"/>
            <w:shd w:val="clear" w:color="auto" w:fill="auto"/>
            <w:noWrap/>
            <w:vAlign w:val="center"/>
            <w:hideMark/>
          </w:tcPr>
          <w:p w:rsidR="00C81926" w:rsidRPr="00C81926" w:rsidRDefault="00C81926" w:rsidP="00C81926">
            <w:pPr>
              <w:spacing w:after="0" w:line="240" w:lineRule="auto"/>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M</w:t>
            </w:r>
            <w:r w:rsidRPr="00C81926">
              <w:rPr>
                <w:rFonts w:ascii="Times New Roman" w:eastAsia="Times New Roman" w:hAnsi="Times New Roman" w:cs="Times New Roman"/>
                <w:b/>
                <w:color w:val="000000"/>
                <w:sz w:val="24"/>
                <w:lang w:eastAsia="sk-SK"/>
              </w:rPr>
              <w:t>igračné saldo</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12</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2</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17</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0</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7</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8</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5</w:t>
            </w:r>
          </w:p>
        </w:tc>
      </w:tr>
      <w:tr w:rsidR="00C81926" w:rsidRPr="00C81926" w:rsidTr="00C81926">
        <w:trPr>
          <w:trHeight w:val="330"/>
        </w:trPr>
        <w:tc>
          <w:tcPr>
            <w:tcW w:w="1418" w:type="dxa"/>
            <w:shd w:val="clear" w:color="auto" w:fill="auto"/>
            <w:noWrap/>
            <w:vAlign w:val="center"/>
            <w:hideMark/>
          </w:tcPr>
          <w:p w:rsidR="00C81926" w:rsidRPr="00C81926" w:rsidRDefault="00C81926" w:rsidP="00C81926">
            <w:pPr>
              <w:spacing w:after="0" w:line="240" w:lineRule="auto"/>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C</w:t>
            </w:r>
            <w:r w:rsidRPr="00C81926">
              <w:rPr>
                <w:rFonts w:ascii="Times New Roman" w:eastAsia="Times New Roman" w:hAnsi="Times New Roman" w:cs="Times New Roman"/>
                <w:b/>
                <w:color w:val="000000"/>
                <w:sz w:val="24"/>
                <w:lang w:eastAsia="sk-SK"/>
              </w:rPr>
              <w:t>elkový prírastok/úbytok</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5</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-8</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-6</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2</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-3</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3</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1</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4</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3</w:t>
            </w:r>
          </w:p>
        </w:tc>
        <w:tc>
          <w:tcPr>
            <w:tcW w:w="624" w:type="dxa"/>
            <w:shd w:val="clear" w:color="auto" w:fill="auto"/>
            <w:noWrap/>
            <w:vAlign w:val="center"/>
            <w:hideMark/>
          </w:tcPr>
          <w:p w:rsidR="00C81926" w:rsidRPr="00C81926" w:rsidRDefault="00C81926" w:rsidP="00C81926">
            <w:pPr>
              <w:spacing w:after="0" w:line="240" w:lineRule="auto"/>
              <w:jc w:val="center"/>
              <w:rPr>
                <w:rFonts w:ascii="Times New Roman" w:eastAsia="Times New Roman" w:hAnsi="Times New Roman" w:cs="Times New Roman"/>
                <w:color w:val="000000"/>
                <w:sz w:val="24"/>
                <w:lang w:eastAsia="sk-SK"/>
              </w:rPr>
            </w:pPr>
            <w:r w:rsidRPr="00C81926">
              <w:rPr>
                <w:rFonts w:ascii="Times New Roman" w:eastAsia="Times New Roman" w:hAnsi="Times New Roman" w:cs="Times New Roman"/>
                <w:color w:val="000000"/>
                <w:sz w:val="24"/>
                <w:lang w:eastAsia="sk-SK"/>
              </w:rPr>
              <w:t>0</w:t>
            </w:r>
          </w:p>
        </w:tc>
      </w:tr>
    </w:tbl>
    <w:p w:rsidR="00C81926"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C81926"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t>Graf – Demografické a migračné saldo, celkový prírastok/úbytok</w:t>
      </w:r>
    </w:p>
    <w:p w:rsidR="00C81926" w:rsidRDefault="00C81926" w:rsidP="00733380">
      <w:pPr>
        <w:spacing w:line="240" w:lineRule="auto"/>
        <w:jc w:val="both"/>
        <w:rPr>
          <w:rFonts w:ascii="Times New Roman" w:hAnsi="Times New Roman" w:cs="Times New Roman"/>
          <w:sz w:val="24"/>
        </w:rPr>
      </w:pPr>
      <w:r w:rsidRPr="00C81926">
        <w:rPr>
          <w:rFonts w:ascii="Times New Roman" w:hAnsi="Times New Roman" w:cs="Times New Roman"/>
          <w:noProof/>
          <w:sz w:val="24"/>
          <w:lang w:eastAsia="sk-SK"/>
        </w:rPr>
        <w:lastRenderedPageBreak/>
        <w:drawing>
          <wp:inline distT="0" distB="0" distL="0" distR="0">
            <wp:extent cx="4572000" cy="2738437"/>
            <wp:effectExtent l="19050" t="0" r="19050" b="4763"/>
            <wp:docPr id="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1926" w:rsidRDefault="00C81926" w:rsidP="00733380">
      <w:pPr>
        <w:spacing w:line="240" w:lineRule="auto"/>
        <w:jc w:val="both"/>
        <w:rPr>
          <w:rFonts w:ascii="Times New Roman" w:hAnsi="Times New Roman" w:cs="Times New Roman"/>
          <w:sz w:val="24"/>
        </w:rPr>
      </w:pPr>
      <w:r>
        <w:rPr>
          <w:rFonts w:ascii="Times New Roman" w:hAnsi="Times New Roman" w:cs="Times New Roman"/>
          <w:sz w:val="24"/>
        </w:rPr>
        <w:t>Zdroj: Tabuľka</w:t>
      </w:r>
    </w:p>
    <w:p w:rsidR="00873D7E" w:rsidRPr="005C50EB" w:rsidRDefault="00873D7E" w:rsidP="00733380">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Zloženie obyvateľstva podľa vierovyznania</w:t>
      </w:r>
    </w:p>
    <w:p w:rsidR="001A6E11" w:rsidRDefault="001A6E11" w:rsidP="00873D7E">
      <w:pPr>
        <w:spacing w:line="240" w:lineRule="auto"/>
        <w:jc w:val="both"/>
        <w:rPr>
          <w:rFonts w:ascii="Times New Roman" w:hAnsi="Times New Roman" w:cs="Times New Roman"/>
          <w:sz w:val="24"/>
        </w:rPr>
      </w:pPr>
      <w:r>
        <w:rPr>
          <w:rFonts w:ascii="Times New Roman" w:hAnsi="Times New Roman" w:cs="Times New Roman"/>
          <w:sz w:val="24"/>
        </w:rPr>
        <w:t>Najpočetnejšou cirkvou v obci Jatov je Rímskokatolícka cirkev so 73,1 %-</w:t>
      </w:r>
      <w:proofErr w:type="spellStart"/>
      <w:r>
        <w:rPr>
          <w:rFonts w:ascii="Times New Roman" w:hAnsi="Times New Roman" w:cs="Times New Roman"/>
          <w:sz w:val="24"/>
        </w:rPr>
        <w:t>ným</w:t>
      </w:r>
      <w:proofErr w:type="spellEnd"/>
      <w:r>
        <w:rPr>
          <w:rFonts w:ascii="Times New Roman" w:hAnsi="Times New Roman" w:cs="Times New Roman"/>
          <w:sz w:val="24"/>
        </w:rPr>
        <w:t xml:space="preserve"> podielom. 101 obyvateľov je bez vyznania.</w:t>
      </w:r>
    </w:p>
    <w:p w:rsidR="00873D7E" w:rsidRPr="00F40727" w:rsidRDefault="00F40727" w:rsidP="00873D7E">
      <w:pPr>
        <w:spacing w:line="240" w:lineRule="auto"/>
        <w:jc w:val="both"/>
        <w:rPr>
          <w:rFonts w:ascii="Times New Roman" w:hAnsi="Times New Roman" w:cs="Times New Roman"/>
          <w:sz w:val="24"/>
        </w:rPr>
      </w:pPr>
      <w:r w:rsidRPr="00F40727">
        <w:rPr>
          <w:rFonts w:ascii="Times New Roman" w:hAnsi="Times New Roman" w:cs="Times New Roman"/>
          <w:sz w:val="24"/>
        </w:rPr>
        <w:t>Tabuľka – Zloženie obyvateľstva podľa vierovyznania</w:t>
      </w:r>
    </w:p>
    <w:tbl>
      <w:tblPr>
        <w:tblW w:w="6500" w:type="dxa"/>
        <w:tblCellMar>
          <w:left w:w="0" w:type="dxa"/>
          <w:right w:w="0" w:type="dxa"/>
        </w:tblCellMar>
        <w:tblLook w:val="0000" w:firstRow="0" w:lastRow="0" w:firstColumn="0" w:lastColumn="0" w:noHBand="0" w:noVBand="0"/>
      </w:tblPr>
      <w:tblGrid>
        <w:gridCol w:w="4580"/>
        <w:gridCol w:w="960"/>
        <w:gridCol w:w="960"/>
      </w:tblGrid>
      <w:tr w:rsidR="00F40727" w:rsidRPr="00F10A2E" w:rsidTr="00F40727">
        <w:trPr>
          <w:trHeight w:hRule="exact" w:val="340"/>
        </w:trPr>
        <w:tc>
          <w:tcPr>
            <w:tcW w:w="4580" w:type="dxa"/>
            <w:tcBorders>
              <w:top w:val="single" w:sz="8" w:space="0" w:color="auto"/>
              <w:left w:val="single" w:sz="8" w:space="0" w:color="auto"/>
              <w:bottom w:val="single" w:sz="8"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b/>
                <w:bCs/>
                <w:sz w:val="24"/>
              </w:rPr>
            </w:pPr>
            <w:r w:rsidRPr="00F10A2E">
              <w:rPr>
                <w:rFonts w:ascii="Times New Roman" w:hAnsi="Times New Roman" w:cs="Times New Roman"/>
                <w:b/>
                <w:bCs/>
                <w:sz w:val="24"/>
              </w:rPr>
              <w:t>Náboženské vyznanie /cirkev</w:t>
            </w:r>
          </w:p>
        </w:tc>
        <w:tc>
          <w:tcPr>
            <w:tcW w:w="96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b/>
                <w:bCs/>
                <w:sz w:val="24"/>
              </w:rPr>
            </w:pPr>
            <w:r w:rsidRPr="00F10A2E">
              <w:rPr>
                <w:rFonts w:ascii="Times New Roman" w:hAnsi="Times New Roman" w:cs="Times New Roman"/>
                <w:b/>
                <w:bCs/>
                <w:sz w:val="24"/>
              </w:rPr>
              <w:t>Spolu</w:t>
            </w:r>
          </w:p>
        </w:tc>
        <w:tc>
          <w:tcPr>
            <w:tcW w:w="960" w:type="dxa"/>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b/>
                <w:bCs/>
                <w:sz w:val="24"/>
              </w:rPr>
            </w:pPr>
            <w:r w:rsidRPr="00F10A2E">
              <w:rPr>
                <w:rFonts w:ascii="Times New Roman" w:hAnsi="Times New Roman" w:cs="Times New Roman"/>
                <w:b/>
                <w:bCs/>
                <w:sz w:val="24"/>
              </w:rPr>
              <w:t>%</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Rímskokatolícka cirkev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568</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73,1 %</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Gréckokatolícka cirkev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0</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Bratská jednota baptistov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0,1 %</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Evanjelická cirkev augsburského vyznania</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1</w:t>
            </w:r>
            <w:r>
              <w:rPr>
                <w:rFonts w:ascii="Times New Roman" w:hAnsi="Times New Roman" w:cs="Times New Roman"/>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1,4 %</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Reformovaná kresťanská cirkev</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0,1 %</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Evanjelická cirkev metodistická</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1A6E11" w:rsidP="00F40727">
            <w:pPr>
              <w:spacing w:line="240" w:lineRule="auto"/>
              <w:rPr>
                <w:rFonts w:ascii="Times New Roman" w:hAnsi="Times New Roman" w:cs="Times New Roman"/>
                <w:sz w:val="24"/>
              </w:rPr>
            </w:pPr>
            <w:r>
              <w:rPr>
                <w:rFonts w:ascii="Times New Roman" w:hAnsi="Times New Roman" w:cs="Times New Roman"/>
                <w:sz w:val="24"/>
              </w:rPr>
              <w:t>0</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Cirkev československá husitská</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1A6E11" w:rsidP="00F40727">
            <w:pPr>
              <w:spacing w:line="240" w:lineRule="auto"/>
              <w:rPr>
                <w:rFonts w:ascii="Times New Roman" w:hAnsi="Times New Roman" w:cs="Times New Roman"/>
                <w:sz w:val="24"/>
              </w:rPr>
            </w:pPr>
            <w:r>
              <w:rPr>
                <w:rFonts w:ascii="Times New Roman" w:hAnsi="Times New Roman" w:cs="Times New Roman"/>
                <w:sz w:val="24"/>
              </w:rPr>
              <w:t>0</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Náboženská spoločnosť Jehovovi svedkovia</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1A6E11" w:rsidP="00F40727">
            <w:pPr>
              <w:spacing w:line="240" w:lineRule="auto"/>
              <w:rPr>
                <w:rFonts w:ascii="Times New Roman" w:hAnsi="Times New Roman" w:cs="Times New Roman"/>
                <w:sz w:val="24"/>
              </w:rPr>
            </w:pPr>
            <w:r>
              <w:rPr>
                <w:rFonts w:ascii="Times New Roman" w:hAnsi="Times New Roman" w:cs="Times New Roman"/>
                <w:sz w:val="24"/>
              </w:rPr>
              <w:t>0</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Ostatné</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1A6E11" w:rsidP="00F40727">
            <w:pPr>
              <w:spacing w:line="240" w:lineRule="auto"/>
              <w:rPr>
                <w:rFonts w:ascii="Times New Roman" w:hAnsi="Times New Roman" w:cs="Times New Roman"/>
                <w:sz w:val="24"/>
              </w:rPr>
            </w:pPr>
            <w:r>
              <w:rPr>
                <w:rFonts w:ascii="Times New Roman" w:hAnsi="Times New Roman" w:cs="Times New Roman"/>
                <w:sz w:val="24"/>
              </w:rPr>
              <w:t>0,3 %</w:t>
            </w:r>
          </w:p>
        </w:tc>
      </w:tr>
      <w:tr w:rsidR="00F40727" w:rsidRPr="00F10A2E" w:rsidTr="00F40727">
        <w:trPr>
          <w:trHeight w:hRule="exact" w:val="340"/>
        </w:trPr>
        <w:tc>
          <w:tcPr>
            <w:tcW w:w="0" w:type="auto"/>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Bez vyznania</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101</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1A6E11" w:rsidP="00F40727">
            <w:pPr>
              <w:spacing w:line="240" w:lineRule="auto"/>
              <w:rPr>
                <w:rFonts w:ascii="Times New Roman" w:hAnsi="Times New Roman" w:cs="Times New Roman"/>
                <w:sz w:val="24"/>
              </w:rPr>
            </w:pPr>
            <w:r>
              <w:rPr>
                <w:rFonts w:ascii="Times New Roman" w:hAnsi="Times New Roman" w:cs="Times New Roman"/>
                <w:sz w:val="24"/>
              </w:rPr>
              <w:t>13,1 %</w:t>
            </w:r>
          </w:p>
        </w:tc>
      </w:tr>
      <w:tr w:rsidR="00F40727" w:rsidRPr="00F10A2E" w:rsidTr="00F40727">
        <w:trPr>
          <w:trHeight w:hRule="exact" w:val="340"/>
        </w:trPr>
        <w:tc>
          <w:tcPr>
            <w:tcW w:w="0" w:type="auto"/>
            <w:tcBorders>
              <w:top w:val="nil"/>
              <w:left w:val="single" w:sz="8" w:space="0" w:color="auto"/>
              <w:bottom w:val="nil"/>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sidRPr="00F10A2E">
              <w:rPr>
                <w:rFonts w:ascii="Times New Roman" w:hAnsi="Times New Roman" w:cs="Times New Roman"/>
                <w:sz w:val="24"/>
              </w:rPr>
              <w:t>Nezistené</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sz w:val="24"/>
              </w:rPr>
            </w:pPr>
            <w:r>
              <w:rPr>
                <w:rFonts w:ascii="Times New Roman" w:hAnsi="Times New Roman" w:cs="Times New Roman"/>
                <w:sz w:val="24"/>
              </w:rPr>
              <w:t>87</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1A6E11" w:rsidP="00F40727">
            <w:pPr>
              <w:spacing w:line="240" w:lineRule="auto"/>
              <w:rPr>
                <w:rFonts w:ascii="Times New Roman" w:hAnsi="Times New Roman" w:cs="Times New Roman"/>
                <w:sz w:val="24"/>
              </w:rPr>
            </w:pPr>
            <w:r>
              <w:rPr>
                <w:rFonts w:ascii="Times New Roman" w:hAnsi="Times New Roman" w:cs="Times New Roman"/>
                <w:sz w:val="24"/>
              </w:rPr>
              <w:t>11,3 %</w:t>
            </w:r>
          </w:p>
        </w:tc>
      </w:tr>
      <w:tr w:rsidR="00F40727" w:rsidRPr="00F10A2E" w:rsidTr="00F40727">
        <w:trPr>
          <w:trHeight w:hRule="exact" w:val="340"/>
        </w:trPr>
        <w:tc>
          <w:tcPr>
            <w:tcW w:w="0" w:type="auto"/>
            <w:tcBorders>
              <w:top w:val="single" w:sz="8" w:space="0" w:color="auto"/>
              <w:left w:val="single" w:sz="8" w:space="0" w:color="auto"/>
              <w:bottom w:val="single" w:sz="8"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b/>
                <w:bCs/>
                <w:sz w:val="24"/>
              </w:rPr>
            </w:pPr>
            <w:r w:rsidRPr="00F10A2E">
              <w:rPr>
                <w:rFonts w:ascii="Times New Roman" w:hAnsi="Times New Roman" w:cs="Times New Roman"/>
                <w:b/>
                <w:bCs/>
                <w:sz w:val="24"/>
              </w:rPr>
              <w:t>Spolu</w:t>
            </w:r>
          </w:p>
        </w:tc>
        <w:tc>
          <w:tcPr>
            <w:tcW w:w="0" w:type="auto"/>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F40727" w:rsidRPr="00F10A2E" w:rsidRDefault="00F40727" w:rsidP="00F40727">
            <w:pPr>
              <w:spacing w:line="240" w:lineRule="auto"/>
              <w:rPr>
                <w:rFonts w:ascii="Times New Roman" w:hAnsi="Times New Roman" w:cs="Times New Roman"/>
                <w:b/>
                <w:bCs/>
                <w:sz w:val="24"/>
              </w:rPr>
            </w:pPr>
            <w:r>
              <w:rPr>
                <w:rFonts w:ascii="Times New Roman" w:hAnsi="Times New Roman" w:cs="Times New Roman"/>
                <w:b/>
                <w:bCs/>
                <w:sz w:val="24"/>
              </w:rPr>
              <w:t>771</w:t>
            </w:r>
          </w:p>
        </w:tc>
        <w:tc>
          <w:tcPr>
            <w:tcW w:w="0" w:type="auto"/>
            <w:tcBorders>
              <w:top w:val="single" w:sz="4" w:space="0" w:color="auto"/>
              <w:left w:val="single" w:sz="4" w:space="0" w:color="auto"/>
              <w:bottom w:val="single" w:sz="4" w:space="0" w:color="auto"/>
              <w:right w:val="single" w:sz="4" w:space="0" w:color="auto"/>
            </w:tcBorders>
            <w:vAlign w:val="center"/>
          </w:tcPr>
          <w:p w:rsidR="00F40727" w:rsidRPr="00F10A2E" w:rsidRDefault="00F40727" w:rsidP="00F40727">
            <w:pPr>
              <w:spacing w:line="240" w:lineRule="auto"/>
              <w:rPr>
                <w:rFonts w:ascii="Times New Roman" w:hAnsi="Times New Roman" w:cs="Times New Roman"/>
                <w:b/>
                <w:bCs/>
                <w:sz w:val="24"/>
              </w:rPr>
            </w:pPr>
            <w:r w:rsidRPr="00F10A2E">
              <w:rPr>
                <w:rFonts w:ascii="Times New Roman" w:hAnsi="Times New Roman" w:cs="Times New Roman"/>
                <w:b/>
                <w:bCs/>
                <w:sz w:val="24"/>
              </w:rPr>
              <w:t>100</w:t>
            </w:r>
            <w:r>
              <w:rPr>
                <w:rFonts w:ascii="Times New Roman" w:hAnsi="Times New Roman" w:cs="Times New Roman"/>
                <w:b/>
                <w:bCs/>
                <w:sz w:val="24"/>
              </w:rPr>
              <w:t>%</w:t>
            </w:r>
          </w:p>
        </w:tc>
      </w:tr>
    </w:tbl>
    <w:p w:rsidR="00F40727" w:rsidRPr="00F40727" w:rsidRDefault="00F40727" w:rsidP="00873D7E">
      <w:pPr>
        <w:spacing w:line="240" w:lineRule="auto"/>
        <w:jc w:val="both"/>
        <w:rPr>
          <w:rFonts w:ascii="Times New Roman" w:hAnsi="Times New Roman" w:cs="Times New Roman"/>
          <w:sz w:val="24"/>
        </w:rPr>
      </w:pPr>
      <w:r w:rsidRPr="00F40727">
        <w:rPr>
          <w:rFonts w:ascii="Times New Roman" w:hAnsi="Times New Roman" w:cs="Times New Roman"/>
          <w:sz w:val="24"/>
        </w:rPr>
        <w:t>Zdroj: Štatistický úrad SR (Sčítanie ľudu 2011)</w:t>
      </w:r>
    </w:p>
    <w:p w:rsidR="00F40727" w:rsidRDefault="00F40727" w:rsidP="00873D7E">
      <w:pPr>
        <w:spacing w:line="240" w:lineRule="auto"/>
        <w:jc w:val="both"/>
        <w:rPr>
          <w:rFonts w:ascii="Times New Roman" w:hAnsi="Times New Roman" w:cs="Times New Roman"/>
          <w:sz w:val="24"/>
        </w:rPr>
      </w:pPr>
      <w:r w:rsidRPr="00F40727">
        <w:rPr>
          <w:rFonts w:ascii="Times New Roman" w:hAnsi="Times New Roman" w:cs="Times New Roman"/>
          <w:sz w:val="24"/>
        </w:rPr>
        <w:t>Graf – Zloženie obyvateľstva podľa vierovyznania</w:t>
      </w:r>
    </w:p>
    <w:p w:rsidR="00F40727" w:rsidRDefault="00F40727" w:rsidP="00873D7E">
      <w:pPr>
        <w:spacing w:line="240" w:lineRule="auto"/>
        <w:jc w:val="both"/>
        <w:rPr>
          <w:rFonts w:ascii="Times New Roman" w:hAnsi="Times New Roman" w:cs="Times New Roman"/>
          <w:sz w:val="24"/>
        </w:rPr>
      </w:pPr>
      <w:r w:rsidRPr="00F40727">
        <w:rPr>
          <w:rFonts w:ascii="Times New Roman" w:hAnsi="Times New Roman" w:cs="Times New Roman"/>
          <w:noProof/>
          <w:sz w:val="24"/>
          <w:lang w:eastAsia="sk-SK"/>
        </w:rPr>
        <w:lastRenderedPageBreak/>
        <w:drawing>
          <wp:inline distT="0" distB="0" distL="0" distR="0">
            <wp:extent cx="5760720" cy="2495128"/>
            <wp:effectExtent l="19050" t="0" r="11430" b="422"/>
            <wp:docPr id="9"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0727" w:rsidRDefault="00F40727" w:rsidP="00873D7E">
      <w:pPr>
        <w:spacing w:line="240" w:lineRule="auto"/>
        <w:jc w:val="both"/>
        <w:rPr>
          <w:rFonts w:ascii="Times New Roman" w:hAnsi="Times New Roman" w:cs="Times New Roman"/>
          <w:sz w:val="24"/>
        </w:rPr>
      </w:pPr>
      <w:r>
        <w:rPr>
          <w:rFonts w:ascii="Times New Roman" w:hAnsi="Times New Roman" w:cs="Times New Roman"/>
          <w:sz w:val="24"/>
        </w:rPr>
        <w:t>Zdroj: Tabuľka</w:t>
      </w:r>
    </w:p>
    <w:p w:rsidR="001A6E11" w:rsidRPr="00F40727" w:rsidRDefault="001A6E11" w:rsidP="00873D7E">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Zloženie obyvateľstva podľa národnosti</w:t>
      </w:r>
    </w:p>
    <w:p w:rsidR="001A6E11" w:rsidRDefault="001A6E11" w:rsidP="001A6E11">
      <w:pPr>
        <w:spacing w:line="240" w:lineRule="auto"/>
        <w:jc w:val="both"/>
        <w:rPr>
          <w:rFonts w:ascii="Times New Roman" w:hAnsi="Times New Roman" w:cs="Times New Roman"/>
          <w:sz w:val="24"/>
        </w:rPr>
      </w:pPr>
      <w:r>
        <w:rPr>
          <w:rFonts w:ascii="Times New Roman" w:hAnsi="Times New Roman" w:cs="Times New Roman"/>
          <w:sz w:val="24"/>
        </w:rPr>
        <w:t xml:space="preserve">Z hľadiska národnostnej štruktúry obyvateľstva v obci Jatov prevláda slovenská národnosť s 95,6%ným podielom z celkového počtu trvale bývajúceho obyvateľstva. </w:t>
      </w:r>
      <w:r w:rsidR="00E04C5D">
        <w:rPr>
          <w:rFonts w:ascii="Times New Roman" w:hAnsi="Times New Roman" w:cs="Times New Roman"/>
          <w:sz w:val="24"/>
        </w:rPr>
        <w:t>Národnostnú menšinu v obci tvoria obyvatelia s maďarskou (27 obyv.), českou (3 obyv.), ukrajinskou (1 obyv.) a chorvátskou (1 obyv.) národnosťou.</w:t>
      </w:r>
    </w:p>
    <w:p w:rsidR="00E04C5D" w:rsidRPr="001A6E11" w:rsidRDefault="00E04C5D" w:rsidP="001A6E11">
      <w:pPr>
        <w:spacing w:line="240" w:lineRule="auto"/>
        <w:jc w:val="both"/>
        <w:rPr>
          <w:rFonts w:ascii="Times New Roman" w:hAnsi="Times New Roman" w:cs="Times New Roman"/>
          <w:sz w:val="24"/>
        </w:rPr>
      </w:pPr>
      <w:r>
        <w:rPr>
          <w:rFonts w:ascii="Times New Roman" w:hAnsi="Times New Roman" w:cs="Times New Roman"/>
          <w:sz w:val="24"/>
        </w:rPr>
        <w:t>Tabuľka – Národnostná štruktúra obyvateľov</w:t>
      </w:r>
    </w:p>
    <w:tbl>
      <w:tblPr>
        <w:tblW w:w="8105" w:type="dxa"/>
        <w:tblInd w:w="65" w:type="dxa"/>
        <w:tblCellMar>
          <w:left w:w="70" w:type="dxa"/>
          <w:right w:w="70" w:type="dxa"/>
        </w:tblCellMar>
        <w:tblLook w:val="04A0" w:firstRow="1" w:lastRow="0" w:firstColumn="1" w:lastColumn="0" w:noHBand="0" w:noVBand="1"/>
      </w:tblPr>
      <w:tblGrid>
        <w:gridCol w:w="1466"/>
        <w:gridCol w:w="760"/>
        <w:gridCol w:w="663"/>
        <w:gridCol w:w="640"/>
        <w:gridCol w:w="640"/>
        <w:gridCol w:w="640"/>
        <w:gridCol w:w="741"/>
        <w:gridCol w:w="754"/>
        <w:gridCol w:w="640"/>
        <w:gridCol w:w="640"/>
        <w:gridCol w:w="794"/>
      </w:tblGrid>
      <w:tr w:rsidR="001A6E11" w:rsidRPr="001A6E11" w:rsidTr="001A6E11">
        <w:trPr>
          <w:cantSplit/>
          <w:trHeight w:val="397"/>
        </w:trPr>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A6E11" w:rsidRPr="001A6E11" w:rsidRDefault="001A6E11" w:rsidP="001A6E11">
            <w:pPr>
              <w:spacing w:after="0" w:line="240" w:lineRule="auto"/>
              <w:rPr>
                <w:rFonts w:ascii="Times New Roman" w:eastAsia="Times New Roman" w:hAnsi="Times New Roman" w:cs="Times New Roman"/>
                <w:b/>
                <w:bCs/>
                <w:color w:val="000000"/>
                <w:sz w:val="24"/>
                <w:szCs w:val="24"/>
                <w:lang w:eastAsia="sk-SK"/>
              </w:rPr>
            </w:pPr>
            <w:r w:rsidRPr="001A6E11">
              <w:rPr>
                <w:rFonts w:ascii="Times New Roman" w:eastAsia="Times New Roman" w:hAnsi="Times New Roman" w:cs="Times New Roman"/>
                <w:b/>
                <w:bCs/>
                <w:color w:val="000000"/>
                <w:sz w:val="24"/>
                <w:lang w:eastAsia="sk-SK"/>
              </w:rPr>
              <w:t>Trvale bývajúce obyvateľstvo</w:t>
            </w:r>
          </w:p>
        </w:tc>
        <w:tc>
          <w:tcPr>
            <w:tcW w:w="6639" w:type="dxa"/>
            <w:gridSpan w:val="10"/>
            <w:tcBorders>
              <w:top w:val="single" w:sz="4" w:space="0" w:color="auto"/>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r w:rsidRPr="001A6E11">
              <w:rPr>
                <w:rFonts w:ascii="Times New Roman" w:eastAsia="Times New Roman" w:hAnsi="Times New Roman" w:cs="Times New Roman"/>
                <w:b/>
                <w:bCs/>
                <w:color w:val="000000"/>
                <w:sz w:val="24"/>
                <w:lang w:eastAsia="sk-SK"/>
              </w:rPr>
              <w:t>Z toho národnosť</w:t>
            </w:r>
          </w:p>
        </w:tc>
      </w:tr>
      <w:tr w:rsidR="001A6E11" w:rsidRPr="001A6E11" w:rsidTr="001A6E11">
        <w:trPr>
          <w:trHeight w:val="330"/>
        </w:trPr>
        <w:tc>
          <w:tcPr>
            <w:tcW w:w="1466" w:type="dxa"/>
            <w:vMerge/>
            <w:tcBorders>
              <w:top w:val="single" w:sz="4" w:space="0" w:color="auto"/>
              <w:left w:val="single" w:sz="4" w:space="0" w:color="auto"/>
              <w:bottom w:val="single" w:sz="4" w:space="0" w:color="auto"/>
              <w:right w:val="single" w:sz="4" w:space="0" w:color="auto"/>
            </w:tcBorders>
            <w:vAlign w:val="center"/>
            <w:hideMark/>
          </w:tcPr>
          <w:p w:rsidR="001A6E11" w:rsidRPr="001A6E11" w:rsidRDefault="001A6E11" w:rsidP="001A6E11">
            <w:pPr>
              <w:spacing w:after="0" w:line="240" w:lineRule="auto"/>
              <w:rPr>
                <w:rFonts w:ascii="Times New Roman" w:eastAsia="Times New Roman" w:hAnsi="Times New Roman" w:cs="Times New Roman"/>
                <w:b/>
                <w:bCs/>
                <w:color w:val="000000"/>
                <w:sz w:val="24"/>
                <w:szCs w:val="24"/>
                <w:lang w:eastAsia="sk-SK"/>
              </w:rPr>
            </w:pPr>
          </w:p>
        </w:tc>
        <w:tc>
          <w:tcPr>
            <w:tcW w:w="687"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r w:rsidRPr="001A6E11">
              <w:rPr>
                <w:rFonts w:ascii="Times New Roman" w:eastAsia="Times New Roman" w:hAnsi="Times New Roman" w:cs="Times New Roman"/>
                <w:b/>
                <w:bCs/>
                <w:color w:val="000000"/>
                <w:sz w:val="24"/>
                <w:lang w:eastAsia="sk-SK"/>
              </w:rPr>
              <w:t>Slov</w:t>
            </w:r>
          </w:p>
        </w:tc>
        <w:tc>
          <w:tcPr>
            <w:tcW w:w="663"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Maď</w:t>
            </w:r>
            <w:proofErr w:type="spellEnd"/>
          </w:p>
        </w:tc>
        <w:tc>
          <w:tcPr>
            <w:tcW w:w="63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Rom</w:t>
            </w:r>
            <w:proofErr w:type="spellEnd"/>
          </w:p>
        </w:tc>
        <w:tc>
          <w:tcPr>
            <w:tcW w:w="576"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Čes</w:t>
            </w:r>
            <w:proofErr w:type="spellEnd"/>
          </w:p>
        </w:tc>
        <w:tc>
          <w:tcPr>
            <w:tcW w:w="59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r w:rsidRPr="001A6E11">
              <w:rPr>
                <w:rFonts w:ascii="Times New Roman" w:eastAsia="Times New Roman" w:hAnsi="Times New Roman" w:cs="Times New Roman"/>
                <w:b/>
                <w:bCs/>
                <w:color w:val="000000"/>
                <w:sz w:val="24"/>
                <w:lang w:eastAsia="sk-SK"/>
              </w:rPr>
              <w:t>Mor</w:t>
            </w:r>
          </w:p>
        </w:tc>
        <w:tc>
          <w:tcPr>
            <w:tcW w:w="741"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Rusín</w:t>
            </w:r>
            <w:proofErr w:type="spellEnd"/>
          </w:p>
        </w:tc>
        <w:tc>
          <w:tcPr>
            <w:tcW w:w="75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Ukraj</w:t>
            </w:r>
            <w:proofErr w:type="spellEnd"/>
          </w:p>
        </w:tc>
        <w:tc>
          <w:tcPr>
            <w:tcW w:w="620"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Nem</w:t>
            </w:r>
            <w:proofErr w:type="spellEnd"/>
          </w:p>
        </w:tc>
        <w:tc>
          <w:tcPr>
            <w:tcW w:w="576"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r w:rsidRPr="001A6E11">
              <w:rPr>
                <w:rFonts w:ascii="Times New Roman" w:eastAsia="Times New Roman" w:hAnsi="Times New Roman" w:cs="Times New Roman"/>
                <w:b/>
                <w:bCs/>
                <w:color w:val="000000"/>
                <w:sz w:val="24"/>
                <w:lang w:eastAsia="sk-SK"/>
              </w:rPr>
              <w:t>Pol</w:t>
            </w:r>
          </w:p>
        </w:tc>
        <w:tc>
          <w:tcPr>
            <w:tcW w:w="79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b/>
                <w:bCs/>
                <w:color w:val="000000"/>
                <w:sz w:val="24"/>
                <w:szCs w:val="24"/>
                <w:lang w:eastAsia="sk-SK"/>
              </w:rPr>
            </w:pPr>
            <w:proofErr w:type="spellStart"/>
            <w:r w:rsidRPr="001A6E11">
              <w:rPr>
                <w:rFonts w:ascii="Times New Roman" w:eastAsia="Times New Roman" w:hAnsi="Times New Roman" w:cs="Times New Roman"/>
                <w:b/>
                <w:bCs/>
                <w:color w:val="000000"/>
                <w:sz w:val="24"/>
                <w:lang w:eastAsia="sk-SK"/>
              </w:rPr>
              <w:t>Chorv</w:t>
            </w:r>
            <w:proofErr w:type="spellEnd"/>
          </w:p>
        </w:tc>
      </w:tr>
      <w:tr w:rsidR="001A6E11" w:rsidRPr="001A6E11" w:rsidTr="001A6E11">
        <w:trPr>
          <w:trHeight w:val="330"/>
        </w:trPr>
        <w:tc>
          <w:tcPr>
            <w:tcW w:w="1466" w:type="dxa"/>
            <w:tcBorders>
              <w:top w:val="nil"/>
              <w:left w:val="single" w:sz="4" w:space="0" w:color="auto"/>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lang w:eastAsia="sk-SK"/>
              </w:rPr>
              <w:t> </w:t>
            </w:r>
          </w:p>
        </w:tc>
        <w:tc>
          <w:tcPr>
            <w:tcW w:w="687"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lang w:eastAsia="sk-SK"/>
              </w:rPr>
              <w:t>700</w:t>
            </w:r>
          </w:p>
        </w:tc>
        <w:tc>
          <w:tcPr>
            <w:tcW w:w="663"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lang w:eastAsia="sk-SK"/>
              </w:rPr>
              <w:t>27</w:t>
            </w:r>
          </w:p>
        </w:tc>
        <w:tc>
          <w:tcPr>
            <w:tcW w:w="63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 </w:t>
            </w:r>
          </w:p>
        </w:tc>
        <w:tc>
          <w:tcPr>
            <w:tcW w:w="576"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3</w:t>
            </w:r>
          </w:p>
        </w:tc>
        <w:tc>
          <w:tcPr>
            <w:tcW w:w="59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 </w:t>
            </w:r>
          </w:p>
        </w:tc>
        <w:tc>
          <w:tcPr>
            <w:tcW w:w="741"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 </w:t>
            </w:r>
          </w:p>
        </w:tc>
        <w:tc>
          <w:tcPr>
            <w:tcW w:w="75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1</w:t>
            </w:r>
          </w:p>
        </w:tc>
        <w:tc>
          <w:tcPr>
            <w:tcW w:w="620"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 </w:t>
            </w:r>
          </w:p>
        </w:tc>
        <w:tc>
          <w:tcPr>
            <w:tcW w:w="576"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 </w:t>
            </w:r>
          </w:p>
        </w:tc>
        <w:tc>
          <w:tcPr>
            <w:tcW w:w="794" w:type="dxa"/>
            <w:tcBorders>
              <w:top w:val="nil"/>
              <w:left w:val="nil"/>
              <w:bottom w:val="single" w:sz="4" w:space="0" w:color="auto"/>
              <w:right w:val="single" w:sz="4" w:space="0" w:color="auto"/>
            </w:tcBorders>
            <w:shd w:val="clear" w:color="auto" w:fill="auto"/>
            <w:hideMark/>
          </w:tcPr>
          <w:p w:rsidR="001A6E11" w:rsidRPr="001A6E11" w:rsidRDefault="001A6E11" w:rsidP="001A6E11">
            <w:pPr>
              <w:spacing w:after="0" w:line="240" w:lineRule="auto"/>
              <w:jc w:val="both"/>
              <w:rPr>
                <w:rFonts w:ascii="Times New Roman" w:eastAsia="Times New Roman" w:hAnsi="Times New Roman" w:cs="Times New Roman"/>
                <w:color w:val="000000"/>
                <w:sz w:val="24"/>
                <w:szCs w:val="24"/>
                <w:lang w:eastAsia="sk-SK"/>
              </w:rPr>
            </w:pPr>
            <w:r w:rsidRPr="001A6E11">
              <w:rPr>
                <w:rFonts w:ascii="Times New Roman" w:eastAsia="Times New Roman" w:hAnsi="Times New Roman" w:cs="Times New Roman"/>
                <w:color w:val="000000"/>
                <w:sz w:val="24"/>
                <w:szCs w:val="24"/>
                <w:lang w:eastAsia="sk-SK"/>
              </w:rPr>
              <w:t>1</w:t>
            </w:r>
          </w:p>
        </w:tc>
      </w:tr>
      <w:tr w:rsidR="001A6E11" w:rsidRPr="001A6E11" w:rsidTr="001A6E11">
        <w:trPr>
          <w:trHeight w:val="330"/>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w:t>
            </w:r>
          </w:p>
        </w:tc>
        <w:tc>
          <w:tcPr>
            <w:tcW w:w="687"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95,6%</w:t>
            </w:r>
          </w:p>
        </w:tc>
        <w:tc>
          <w:tcPr>
            <w:tcW w:w="663"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3,7%</w:t>
            </w:r>
          </w:p>
        </w:tc>
        <w:tc>
          <w:tcPr>
            <w:tcW w:w="634"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0,0%</w:t>
            </w:r>
          </w:p>
        </w:tc>
        <w:tc>
          <w:tcPr>
            <w:tcW w:w="576"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0,4%</w:t>
            </w:r>
          </w:p>
        </w:tc>
        <w:tc>
          <w:tcPr>
            <w:tcW w:w="594"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0,0%</w:t>
            </w:r>
          </w:p>
        </w:tc>
        <w:tc>
          <w:tcPr>
            <w:tcW w:w="741"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0,0%</w:t>
            </w:r>
          </w:p>
        </w:tc>
        <w:tc>
          <w:tcPr>
            <w:tcW w:w="754"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0,1%</w:t>
            </w:r>
          </w:p>
        </w:tc>
        <w:tc>
          <w:tcPr>
            <w:tcW w:w="620"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0,0%</w:t>
            </w:r>
          </w:p>
        </w:tc>
        <w:tc>
          <w:tcPr>
            <w:tcW w:w="576"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0,0%</w:t>
            </w:r>
          </w:p>
        </w:tc>
        <w:tc>
          <w:tcPr>
            <w:tcW w:w="794" w:type="dxa"/>
            <w:tcBorders>
              <w:top w:val="nil"/>
              <w:left w:val="nil"/>
              <w:bottom w:val="single" w:sz="4" w:space="0" w:color="auto"/>
              <w:right w:val="single" w:sz="4" w:space="0" w:color="auto"/>
            </w:tcBorders>
            <w:shd w:val="clear" w:color="auto" w:fill="auto"/>
            <w:noWrap/>
            <w:vAlign w:val="bottom"/>
            <w:hideMark/>
          </w:tcPr>
          <w:p w:rsidR="001A6E11" w:rsidRPr="001A6E11" w:rsidRDefault="001A6E11" w:rsidP="001A6E11">
            <w:pPr>
              <w:spacing w:after="0" w:line="240" w:lineRule="auto"/>
              <w:jc w:val="right"/>
              <w:rPr>
                <w:rFonts w:ascii="Times New Roman" w:eastAsia="Times New Roman" w:hAnsi="Times New Roman" w:cs="Times New Roman"/>
                <w:color w:val="000000"/>
                <w:sz w:val="24"/>
                <w:lang w:eastAsia="sk-SK"/>
              </w:rPr>
            </w:pPr>
            <w:r w:rsidRPr="001A6E11">
              <w:rPr>
                <w:rFonts w:ascii="Times New Roman" w:eastAsia="Times New Roman" w:hAnsi="Times New Roman" w:cs="Times New Roman"/>
                <w:color w:val="000000"/>
                <w:sz w:val="24"/>
                <w:lang w:eastAsia="sk-SK"/>
              </w:rPr>
              <w:t>0,1%</w:t>
            </w:r>
          </w:p>
        </w:tc>
      </w:tr>
    </w:tbl>
    <w:p w:rsidR="001A6E11" w:rsidRDefault="00E04C5D" w:rsidP="001A6E11">
      <w:pPr>
        <w:spacing w:line="240" w:lineRule="auto"/>
        <w:jc w:val="both"/>
        <w:rPr>
          <w:rFonts w:ascii="Times New Roman" w:hAnsi="Times New Roman" w:cs="Times New Roman"/>
          <w:sz w:val="24"/>
        </w:rPr>
      </w:pPr>
      <w:r w:rsidRPr="00E04C5D">
        <w:rPr>
          <w:rFonts w:ascii="Times New Roman" w:hAnsi="Times New Roman" w:cs="Times New Roman"/>
          <w:sz w:val="24"/>
        </w:rPr>
        <w:t>Zdroj: Štatistický úrad SR (Sčítanie ľudu)</w:t>
      </w:r>
    </w:p>
    <w:p w:rsidR="00E04C5D" w:rsidRDefault="00E04C5D" w:rsidP="001A6E11">
      <w:pPr>
        <w:spacing w:line="240" w:lineRule="auto"/>
        <w:jc w:val="both"/>
        <w:rPr>
          <w:rFonts w:ascii="Times New Roman" w:hAnsi="Times New Roman" w:cs="Times New Roman"/>
          <w:sz w:val="24"/>
        </w:rPr>
      </w:pPr>
      <w:r>
        <w:rPr>
          <w:rFonts w:ascii="Times New Roman" w:hAnsi="Times New Roman" w:cs="Times New Roman"/>
          <w:sz w:val="24"/>
        </w:rPr>
        <w:t>Graf – Národnostná štruktúra obyvateľov</w:t>
      </w:r>
    </w:p>
    <w:p w:rsidR="00E04C5D" w:rsidRDefault="00E04C5D" w:rsidP="001A6E11">
      <w:pPr>
        <w:spacing w:line="240" w:lineRule="auto"/>
        <w:jc w:val="both"/>
        <w:rPr>
          <w:rFonts w:ascii="Times New Roman" w:hAnsi="Times New Roman" w:cs="Times New Roman"/>
          <w:sz w:val="24"/>
        </w:rPr>
      </w:pPr>
      <w:r w:rsidRPr="00E04C5D">
        <w:rPr>
          <w:rFonts w:ascii="Times New Roman" w:hAnsi="Times New Roman" w:cs="Times New Roman"/>
          <w:noProof/>
          <w:sz w:val="24"/>
          <w:lang w:eastAsia="sk-SK"/>
        </w:rPr>
        <w:lastRenderedPageBreak/>
        <w:drawing>
          <wp:inline distT="0" distB="0" distL="0" distR="0">
            <wp:extent cx="5079176" cy="2866030"/>
            <wp:effectExtent l="19050" t="0" r="26224" b="0"/>
            <wp:docPr id="10"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4C5D" w:rsidRDefault="00E04C5D" w:rsidP="001A6E11">
      <w:pPr>
        <w:spacing w:line="240" w:lineRule="auto"/>
        <w:jc w:val="both"/>
        <w:rPr>
          <w:rFonts w:ascii="Times New Roman" w:hAnsi="Times New Roman" w:cs="Times New Roman"/>
          <w:sz w:val="24"/>
        </w:rPr>
      </w:pPr>
      <w:r>
        <w:rPr>
          <w:rFonts w:ascii="Times New Roman" w:hAnsi="Times New Roman" w:cs="Times New Roman"/>
          <w:sz w:val="24"/>
        </w:rPr>
        <w:t>Zdroj: Tabuľka</w:t>
      </w: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Zloženie obyvateľstva podľa vzdelania</w:t>
      </w:r>
    </w:p>
    <w:p w:rsidR="00297EC9" w:rsidRDefault="00297EC9" w:rsidP="00297EC9">
      <w:pPr>
        <w:spacing w:line="240" w:lineRule="auto"/>
        <w:jc w:val="both"/>
        <w:rPr>
          <w:rFonts w:ascii="Times New Roman" w:hAnsi="Times New Roman" w:cs="Times New Roman"/>
          <w:sz w:val="24"/>
        </w:rPr>
      </w:pPr>
      <w:r w:rsidRPr="00297EC9">
        <w:rPr>
          <w:rFonts w:ascii="Times New Roman" w:hAnsi="Times New Roman" w:cs="Times New Roman"/>
          <w:sz w:val="24"/>
        </w:rPr>
        <w:t>Vzdelanie  stupeň i druh je vyjadrením kvality populácie a je veľmi potrebným údajom pre zhodnotenie ľudského potenciálu územia. Rovnako ide o významné údaje pri posúdení trhu práce – hlavne jeho ponukovej zložky. Údaje v oblasti stupňa vzdelania sa získavajú zo sčítania ľudu.</w:t>
      </w:r>
    </w:p>
    <w:p w:rsidR="00297EC9" w:rsidRDefault="00297EC9" w:rsidP="00297EC9">
      <w:pPr>
        <w:spacing w:line="240" w:lineRule="auto"/>
        <w:jc w:val="both"/>
        <w:rPr>
          <w:rFonts w:ascii="Times New Roman" w:hAnsi="Times New Roman" w:cs="Times New Roman"/>
          <w:sz w:val="24"/>
        </w:rPr>
      </w:pPr>
      <w:r>
        <w:rPr>
          <w:rFonts w:ascii="Times New Roman" w:hAnsi="Times New Roman" w:cs="Times New Roman"/>
          <w:sz w:val="24"/>
        </w:rPr>
        <w:t>V nasledujúcej tabuľke je vzdelanostná štruktúra obyvateľov obce Jatov. Najväčšiu zložku obyvateľstva tvoria s ukončeným základným vzdelaním s 22%-</w:t>
      </w:r>
      <w:proofErr w:type="spellStart"/>
      <w:r>
        <w:rPr>
          <w:rFonts w:ascii="Times New Roman" w:hAnsi="Times New Roman" w:cs="Times New Roman"/>
          <w:sz w:val="24"/>
        </w:rPr>
        <w:t>ným</w:t>
      </w:r>
      <w:proofErr w:type="spellEnd"/>
      <w:r>
        <w:rPr>
          <w:rFonts w:ascii="Times New Roman" w:hAnsi="Times New Roman" w:cs="Times New Roman"/>
          <w:sz w:val="24"/>
        </w:rPr>
        <w:t xml:space="preserve"> podielom z celkového počtu obyvateľov. Obyvateľov s ukončeným učňovským vzdelaním bez maturity je o 20 menej, tvoria19,5%-</w:t>
      </w:r>
      <w:proofErr w:type="spellStart"/>
      <w:r>
        <w:rPr>
          <w:rFonts w:ascii="Times New Roman" w:hAnsi="Times New Roman" w:cs="Times New Roman"/>
          <w:sz w:val="24"/>
        </w:rPr>
        <w:t>ný</w:t>
      </w:r>
      <w:proofErr w:type="spellEnd"/>
      <w:r>
        <w:rPr>
          <w:rFonts w:ascii="Times New Roman" w:hAnsi="Times New Roman" w:cs="Times New Roman"/>
          <w:sz w:val="24"/>
        </w:rPr>
        <w:t xml:space="preserve"> podiel. Tretiu najväčšiu skupinu tvoria obyvatelia s ukončeným úplným stredným odborným vzdelaním s maturitou a to s 18,2%-</w:t>
      </w:r>
      <w:proofErr w:type="spellStart"/>
      <w:r>
        <w:rPr>
          <w:rFonts w:ascii="Times New Roman" w:hAnsi="Times New Roman" w:cs="Times New Roman"/>
          <w:sz w:val="24"/>
        </w:rPr>
        <w:t>ným</w:t>
      </w:r>
      <w:proofErr w:type="spellEnd"/>
      <w:r>
        <w:rPr>
          <w:rFonts w:ascii="Times New Roman" w:hAnsi="Times New Roman" w:cs="Times New Roman"/>
          <w:sz w:val="24"/>
        </w:rPr>
        <w:t xml:space="preserve"> podielom.</w:t>
      </w:r>
      <w:r w:rsidR="008E26A4">
        <w:rPr>
          <w:rFonts w:ascii="Times New Roman" w:hAnsi="Times New Roman" w:cs="Times New Roman"/>
          <w:sz w:val="24"/>
        </w:rPr>
        <w:t xml:space="preserve"> Bez vzdelania je evidovaných 13,7 % obyvateľstva.</w:t>
      </w:r>
    </w:p>
    <w:p w:rsidR="00E04C5D" w:rsidRDefault="00297EC9" w:rsidP="00E04C5D">
      <w:pPr>
        <w:spacing w:line="240" w:lineRule="auto"/>
        <w:jc w:val="both"/>
        <w:rPr>
          <w:rFonts w:ascii="Times New Roman" w:hAnsi="Times New Roman" w:cs="Times New Roman"/>
          <w:b/>
          <w:i/>
          <w:sz w:val="24"/>
        </w:rPr>
      </w:pPr>
      <w:r>
        <w:rPr>
          <w:rFonts w:ascii="Times New Roman" w:hAnsi="Times New Roman" w:cs="Times New Roman"/>
          <w:sz w:val="24"/>
        </w:rPr>
        <w:t>Tabuľka – Vzdelanostná štruktúra obyvateľstva</w:t>
      </w:r>
    </w:p>
    <w:tbl>
      <w:tblPr>
        <w:tblW w:w="6777" w:type="dxa"/>
        <w:tblInd w:w="65" w:type="dxa"/>
        <w:tblCellMar>
          <w:left w:w="70" w:type="dxa"/>
          <w:right w:w="70" w:type="dxa"/>
        </w:tblCellMar>
        <w:tblLook w:val="04A0" w:firstRow="1" w:lastRow="0" w:firstColumn="1" w:lastColumn="0" w:noHBand="0" w:noVBand="1"/>
      </w:tblPr>
      <w:tblGrid>
        <w:gridCol w:w="4481"/>
        <w:gridCol w:w="1336"/>
        <w:gridCol w:w="960"/>
      </w:tblGrid>
      <w:tr w:rsidR="00297EC9" w:rsidRPr="00297EC9" w:rsidTr="00297EC9">
        <w:trPr>
          <w:trHeight w:val="300"/>
        </w:trPr>
        <w:tc>
          <w:tcPr>
            <w:tcW w:w="4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b/>
                <w:color w:val="000000"/>
                <w:sz w:val="24"/>
                <w:lang w:eastAsia="sk-SK"/>
              </w:rPr>
            </w:pPr>
            <w:r w:rsidRPr="00297EC9">
              <w:rPr>
                <w:rFonts w:ascii="Times New Roman" w:eastAsia="Times New Roman" w:hAnsi="Times New Roman" w:cs="Times New Roman"/>
                <w:b/>
                <w:color w:val="000000"/>
                <w:sz w:val="24"/>
                <w:lang w:eastAsia="sk-SK"/>
              </w:rPr>
              <w:t>Najvyšší dosiahnutý stupeň školského vzdelania</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b/>
                <w:color w:val="000000"/>
                <w:sz w:val="24"/>
                <w:lang w:eastAsia="sk-SK"/>
              </w:rPr>
            </w:pPr>
            <w:r w:rsidRPr="00297EC9">
              <w:rPr>
                <w:rFonts w:ascii="Times New Roman" w:eastAsia="Times New Roman" w:hAnsi="Times New Roman" w:cs="Times New Roman"/>
                <w:b/>
                <w:color w:val="000000"/>
                <w:sz w:val="24"/>
                <w:lang w:eastAsia="sk-SK"/>
              </w:rPr>
              <w:t>Počet obyv.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b/>
                <w:color w:val="000000"/>
                <w:sz w:val="24"/>
                <w:lang w:eastAsia="sk-SK"/>
              </w:rPr>
            </w:pPr>
            <w:r w:rsidRPr="00297EC9">
              <w:rPr>
                <w:rFonts w:ascii="Times New Roman" w:eastAsia="Times New Roman" w:hAnsi="Times New Roman" w:cs="Times New Roman"/>
                <w:b/>
                <w:color w:val="000000"/>
                <w:sz w:val="24"/>
                <w:lang w:eastAsia="sk-SK"/>
              </w:rPr>
              <w:t>V %</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Základné</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170</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22,0%</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Učňovské (bez maturity)</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150</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19,5%</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Stredné odborné (bez maturity)</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84</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10,9%</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Úplné stredné učňovské (s maturitou)</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24</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3,1%</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Úplné stredné odborné (s maturitou)</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140</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18,2%</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Úplné stredné všeobecné</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20</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2,6%</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Vysokoškolské bakalárske</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10</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1,3%</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Vysokoškolské magisterské, inžinierske, doktorské</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30</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3,9%</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Vysokoškolské doktorandské</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0,3%</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Bez vzdelania</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106</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13,7%</w:t>
            </w:r>
          </w:p>
        </w:tc>
      </w:tr>
      <w:tr w:rsidR="00297EC9" w:rsidRPr="00297EC9" w:rsidTr="00297EC9">
        <w:trPr>
          <w:trHeight w:val="300"/>
        </w:trPr>
        <w:tc>
          <w:tcPr>
            <w:tcW w:w="4481" w:type="dxa"/>
            <w:tcBorders>
              <w:top w:val="nil"/>
              <w:left w:val="single" w:sz="4" w:space="0" w:color="auto"/>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Spolu</w:t>
            </w:r>
          </w:p>
        </w:tc>
        <w:tc>
          <w:tcPr>
            <w:tcW w:w="1336"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771</w:t>
            </w:r>
          </w:p>
        </w:tc>
        <w:tc>
          <w:tcPr>
            <w:tcW w:w="960" w:type="dxa"/>
            <w:tcBorders>
              <w:top w:val="nil"/>
              <w:left w:val="nil"/>
              <w:bottom w:val="single" w:sz="4" w:space="0" w:color="auto"/>
              <w:right w:val="single" w:sz="4" w:space="0" w:color="auto"/>
            </w:tcBorders>
            <w:shd w:val="clear" w:color="auto" w:fill="auto"/>
            <w:noWrap/>
            <w:vAlign w:val="center"/>
            <w:hideMark/>
          </w:tcPr>
          <w:p w:rsidR="00297EC9" w:rsidRPr="00297EC9" w:rsidRDefault="00297EC9" w:rsidP="00297EC9">
            <w:pPr>
              <w:spacing w:after="0" w:line="240" w:lineRule="auto"/>
              <w:jc w:val="center"/>
              <w:rPr>
                <w:rFonts w:ascii="Times New Roman" w:eastAsia="Times New Roman" w:hAnsi="Times New Roman" w:cs="Times New Roman"/>
                <w:color w:val="000000"/>
                <w:sz w:val="24"/>
                <w:lang w:eastAsia="sk-SK"/>
              </w:rPr>
            </w:pPr>
            <w:r w:rsidRPr="00297EC9">
              <w:rPr>
                <w:rFonts w:ascii="Times New Roman" w:eastAsia="Times New Roman" w:hAnsi="Times New Roman" w:cs="Times New Roman"/>
                <w:color w:val="000000"/>
                <w:sz w:val="24"/>
                <w:lang w:eastAsia="sk-SK"/>
              </w:rPr>
              <w:t>100,0%</w:t>
            </w:r>
          </w:p>
        </w:tc>
      </w:tr>
    </w:tbl>
    <w:p w:rsidR="00297EC9" w:rsidRDefault="008E26A4" w:rsidP="00E04C5D">
      <w:pPr>
        <w:spacing w:line="240" w:lineRule="auto"/>
        <w:jc w:val="both"/>
        <w:rPr>
          <w:rFonts w:ascii="Times New Roman" w:hAnsi="Times New Roman" w:cs="Times New Roman"/>
          <w:sz w:val="24"/>
        </w:rPr>
      </w:pPr>
      <w:r>
        <w:rPr>
          <w:rFonts w:ascii="Times New Roman" w:hAnsi="Times New Roman" w:cs="Times New Roman"/>
          <w:sz w:val="24"/>
        </w:rPr>
        <w:t>Zdroj: Štatistický úrad SR (Sčítanie ľudu 2011)</w:t>
      </w:r>
    </w:p>
    <w:p w:rsidR="008E26A4" w:rsidRDefault="008E26A4" w:rsidP="00E04C5D">
      <w:pPr>
        <w:spacing w:line="240" w:lineRule="auto"/>
        <w:jc w:val="both"/>
        <w:rPr>
          <w:rFonts w:ascii="Times New Roman" w:hAnsi="Times New Roman" w:cs="Times New Roman"/>
          <w:sz w:val="24"/>
        </w:rPr>
      </w:pPr>
      <w:r>
        <w:rPr>
          <w:rFonts w:ascii="Times New Roman" w:hAnsi="Times New Roman" w:cs="Times New Roman"/>
          <w:sz w:val="24"/>
        </w:rPr>
        <w:lastRenderedPageBreak/>
        <w:t>Graf – Vzdelanostná štruktúra obyvateľstva v %</w:t>
      </w:r>
    </w:p>
    <w:p w:rsidR="008E26A4" w:rsidRDefault="008E26A4" w:rsidP="00E04C5D">
      <w:pPr>
        <w:spacing w:line="240" w:lineRule="auto"/>
        <w:jc w:val="both"/>
        <w:rPr>
          <w:rFonts w:ascii="Times New Roman" w:hAnsi="Times New Roman" w:cs="Times New Roman"/>
          <w:sz w:val="24"/>
        </w:rPr>
      </w:pPr>
      <w:r w:rsidRPr="008E26A4">
        <w:rPr>
          <w:rFonts w:ascii="Times New Roman" w:hAnsi="Times New Roman" w:cs="Times New Roman"/>
          <w:noProof/>
          <w:sz w:val="24"/>
          <w:lang w:eastAsia="sk-SK"/>
        </w:rPr>
        <w:drawing>
          <wp:inline distT="0" distB="0" distL="0" distR="0">
            <wp:extent cx="5760720" cy="3390729"/>
            <wp:effectExtent l="19050" t="0" r="11430" b="171"/>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26A4" w:rsidRDefault="008E26A4" w:rsidP="00E04C5D">
      <w:pPr>
        <w:spacing w:line="240" w:lineRule="auto"/>
        <w:jc w:val="both"/>
        <w:rPr>
          <w:rFonts w:ascii="Times New Roman" w:hAnsi="Times New Roman" w:cs="Times New Roman"/>
          <w:sz w:val="24"/>
        </w:rPr>
      </w:pPr>
      <w:r>
        <w:rPr>
          <w:rFonts w:ascii="Times New Roman" w:hAnsi="Times New Roman" w:cs="Times New Roman"/>
          <w:sz w:val="24"/>
        </w:rPr>
        <w:t>Zdroj: Tabuľka</w:t>
      </w:r>
    </w:p>
    <w:p w:rsidR="008E26A4" w:rsidRPr="008E26A4" w:rsidRDefault="008E26A4" w:rsidP="00E04C5D">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Štruktúra obyvateľstva podľa produktívnosti a ekonomickej aktivity</w:t>
      </w:r>
    </w:p>
    <w:p w:rsidR="004E7A33" w:rsidRPr="004E7A33" w:rsidRDefault="004E7A33" w:rsidP="004E7A33">
      <w:pPr>
        <w:spacing w:line="240" w:lineRule="auto"/>
        <w:jc w:val="both"/>
        <w:rPr>
          <w:rFonts w:ascii="Times New Roman" w:hAnsi="Times New Roman" w:cs="Times New Roman"/>
          <w:sz w:val="24"/>
        </w:rPr>
      </w:pPr>
      <w:r w:rsidRPr="004E7A33">
        <w:rPr>
          <w:rFonts w:ascii="Times New Roman" w:hAnsi="Times New Roman" w:cs="Times New Roman"/>
          <w:sz w:val="24"/>
        </w:rPr>
        <w:t>Z celkového počtu obyvateľov 47,7% tvorí ekonomicky aktívne obyvateľstvo. 38,4% z celkového obyvateľstva sú pracujúci obyvatelia (okrem pracujúcich dôchodcov). Veľkú skupinu tvoria dôchodcovia, a to až 26,2%. Nezamestnaných je v obci 60, čo tvorí 7,8% z celkového počtu obyvateľov.</w:t>
      </w:r>
    </w:p>
    <w:p w:rsidR="004E7A33" w:rsidRPr="004E7A33" w:rsidRDefault="004E7A33" w:rsidP="004E7A33">
      <w:pPr>
        <w:spacing w:line="240" w:lineRule="auto"/>
        <w:jc w:val="both"/>
        <w:rPr>
          <w:rFonts w:ascii="Times New Roman" w:hAnsi="Times New Roman" w:cs="Times New Roman"/>
          <w:sz w:val="24"/>
        </w:rPr>
      </w:pPr>
    </w:p>
    <w:p w:rsidR="004E7A33" w:rsidRPr="004E7A33" w:rsidRDefault="004E7A33" w:rsidP="004E7A33">
      <w:pPr>
        <w:spacing w:line="240" w:lineRule="auto"/>
        <w:jc w:val="both"/>
        <w:rPr>
          <w:rFonts w:ascii="Times New Roman" w:hAnsi="Times New Roman" w:cs="Times New Roman"/>
          <w:sz w:val="24"/>
        </w:rPr>
      </w:pPr>
      <w:r w:rsidRPr="004E7A33">
        <w:rPr>
          <w:rFonts w:ascii="Times New Roman" w:hAnsi="Times New Roman" w:cs="Times New Roman"/>
          <w:sz w:val="24"/>
        </w:rPr>
        <w:t>Tabuľka – Ekonomická aktivita</w:t>
      </w: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2"/>
        <w:gridCol w:w="741"/>
        <w:gridCol w:w="680"/>
        <w:gridCol w:w="709"/>
        <w:gridCol w:w="709"/>
        <w:gridCol w:w="693"/>
        <w:gridCol w:w="563"/>
        <w:gridCol w:w="719"/>
        <w:gridCol w:w="583"/>
        <w:gridCol w:w="708"/>
        <w:gridCol w:w="709"/>
        <w:gridCol w:w="726"/>
        <w:gridCol w:w="709"/>
        <w:gridCol w:w="567"/>
        <w:gridCol w:w="567"/>
        <w:gridCol w:w="709"/>
      </w:tblGrid>
      <w:tr w:rsidR="004E7A33" w:rsidRPr="00B01FDE" w:rsidTr="001F0F64">
        <w:trPr>
          <w:trHeight w:val="283"/>
        </w:trPr>
        <w:tc>
          <w:tcPr>
            <w:tcW w:w="682"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b/>
                <w:bCs/>
                <w:color w:val="000000"/>
                <w:lang w:eastAsia="sk-SK"/>
              </w:rPr>
            </w:pPr>
            <w:r w:rsidRPr="00B01FDE">
              <w:rPr>
                <w:rFonts w:ascii="Times New Roman" w:eastAsia="Times New Roman" w:hAnsi="Times New Roman" w:cs="Times New Roman"/>
                <w:b/>
                <w:bCs/>
                <w:color w:val="000000"/>
                <w:lang w:eastAsia="sk-SK"/>
              </w:rPr>
              <w:t>Obec</w:t>
            </w:r>
          </w:p>
        </w:tc>
        <w:tc>
          <w:tcPr>
            <w:tcW w:w="741"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Trvale obývajúce obyvateľstvo</w:t>
            </w:r>
          </w:p>
        </w:tc>
        <w:tc>
          <w:tcPr>
            <w:tcW w:w="680"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Pracujúci (okrem dôchodcov)</w:t>
            </w:r>
          </w:p>
        </w:tc>
        <w:tc>
          <w:tcPr>
            <w:tcW w:w="709"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Pracujúci dôchodcovia</w:t>
            </w:r>
          </w:p>
        </w:tc>
        <w:tc>
          <w:tcPr>
            <w:tcW w:w="709"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Osoby na materskej dovolenke</w:t>
            </w:r>
          </w:p>
        </w:tc>
        <w:tc>
          <w:tcPr>
            <w:tcW w:w="693"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Osoby na rodičovskej dovolenke</w:t>
            </w:r>
          </w:p>
        </w:tc>
        <w:tc>
          <w:tcPr>
            <w:tcW w:w="563"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Nezamestnaní</w:t>
            </w:r>
          </w:p>
        </w:tc>
        <w:tc>
          <w:tcPr>
            <w:tcW w:w="719"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Študenti stredných škôl</w:t>
            </w:r>
          </w:p>
        </w:tc>
        <w:tc>
          <w:tcPr>
            <w:tcW w:w="583"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Študenti vysokých škôl</w:t>
            </w:r>
          </w:p>
        </w:tc>
        <w:tc>
          <w:tcPr>
            <w:tcW w:w="708"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Osoby v domácnosti</w:t>
            </w:r>
          </w:p>
        </w:tc>
        <w:tc>
          <w:tcPr>
            <w:tcW w:w="709"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Dôchodcovia</w:t>
            </w:r>
          </w:p>
        </w:tc>
        <w:tc>
          <w:tcPr>
            <w:tcW w:w="726"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Príjemcovia kapitálových príjmov</w:t>
            </w:r>
          </w:p>
        </w:tc>
        <w:tc>
          <w:tcPr>
            <w:tcW w:w="709"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Deti do 16 rokov</w:t>
            </w:r>
          </w:p>
        </w:tc>
        <w:tc>
          <w:tcPr>
            <w:tcW w:w="567"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iná</w:t>
            </w:r>
          </w:p>
        </w:tc>
        <w:tc>
          <w:tcPr>
            <w:tcW w:w="567"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nezistená</w:t>
            </w:r>
          </w:p>
        </w:tc>
        <w:tc>
          <w:tcPr>
            <w:tcW w:w="709" w:type="dxa"/>
            <w:shd w:val="clear" w:color="auto" w:fill="auto"/>
            <w:vAlign w:val="center"/>
            <w:hideMark/>
          </w:tcPr>
          <w:p w:rsidR="004E7A33" w:rsidRPr="00B01FDE" w:rsidRDefault="004E7A33" w:rsidP="001F0F64">
            <w:pPr>
              <w:spacing w:after="0" w:line="240" w:lineRule="auto"/>
              <w:jc w:val="center"/>
              <w:rPr>
                <w:rFonts w:ascii="Times New Roman" w:eastAsia="Times New Roman" w:hAnsi="Times New Roman" w:cs="Times New Roman"/>
                <w:color w:val="000000"/>
                <w:lang w:eastAsia="sk-SK"/>
              </w:rPr>
            </w:pPr>
            <w:proofErr w:type="spellStart"/>
            <w:r w:rsidRPr="00B01FDE">
              <w:rPr>
                <w:rFonts w:ascii="Times New Roman" w:eastAsia="Times New Roman" w:hAnsi="Times New Roman" w:cs="Times New Roman"/>
                <w:color w:val="000000"/>
                <w:lang w:eastAsia="sk-SK"/>
              </w:rPr>
              <w:t>Eknomicky</w:t>
            </w:r>
            <w:proofErr w:type="spellEnd"/>
            <w:r w:rsidRPr="00B01FDE">
              <w:rPr>
                <w:rFonts w:ascii="Times New Roman" w:eastAsia="Times New Roman" w:hAnsi="Times New Roman" w:cs="Times New Roman"/>
                <w:color w:val="000000"/>
                <w:lang w:eastAsia="sk-SK"/>
              </w:rPr>
              <w:t xml:space="preserve"> aktívni</w:t>
            </w:r>
          </w:p>
        </w:tc>
      </w:tr>
      <w:tr w:rsidR="004E7A33" w:rsidRPr="00B01FDE" w:rsidTr="001F0F64">
        <w:trPr>
          <w:trHeight w:val="283"/>
        </w:trPr>
        <w:tc>
          <w:tcPr>
            <w:tcW w:w="682" w:type="dxa"/>
            <w:shd w:val="clear" w:color="auto" w:fill="auto"/>
            <w:hideMark/>
          </w:tcPr>
          <w:p w:rsidR="004E7A33" w:rsidRPr="00B01FDE" w:rsidRDefault="004E7A33" w:rsidP="001F0F64">
            <w:pPr>
              <w:spacing w:after="0" w:line="240" w:lineRule="auto"/>
              <w:rPr>
                <w:rFonts w:ascii="Times New Roman" w:eastAsia="Times New Roman" w:hAnsi="Times New Roman" w:cs="Times New Roman"/>
                <w:b/>
                <w:bCs/>
                <w:color w:val="000000"/>
                <w:lang w:eastAsia="sk-SK"/>
              </w:rPr>
            </w:pPr>
            <w:r w:rsidRPr="00B01FDE">
              <w:rPr>
                <w:rFonts w:ascii="Times New Roman" w:eastAsia="Times New Roman" w:hAnsi="Times New Roman" w:cs="Times New Roman"/>
                <w:b/>
                <w:bCs/>
                <w:color w:val="000000"/>
                <w:lang w:eastAsia="sk-SK"/>
              </w:rPr>
              <w:t>Jatov</w:t>
            </w:r>
          </w:p>
        </w:tc>
        <w:tc>
          <w:tcPr>
            <w:tcW w:w="741"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771</w:t>
            </w:r>
          </w:p>
        </w:tc>
        <w:tc>
          <w:tcPr>
            <w:tcW w:w="680"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296</w:t>
            </w:r>
          </w:p>
        </w:tc>
        <w:tc>
          <w:tcPr>
            <w:tcW w:w="709"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8</w:t>
            </w:r>
          </w:p>
        </w:tc>
        <w:tc>
          <w:tcPr>
            <w:tcW w:w="709"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4</w:t>
            </w:r>
          </w:p>
        </w:tc>
        <w:tc>
          <w:tcPr>
            <w:tcW w:w="693"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19</w:t>
            </w:r>
          </w:p>
        </w:tc>
        <w:tc>
          <w:tcPr>
            <w:tcW w:w="563"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60</w:t>
            </w:r>
          </w:p>
        </w:tc>
        <w:tc>
          <w:tcPr>
            <w:tcW w:w="719"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27</w:t>
            </w:r>
          </w:p>
        </w:tc>
        <w:tc>
          <w:tcPr>
            <w:tcW w:w="583"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13</w:t>
            </w:r>
          </w:p>
        </w:tc>
        <w:tc>
          <w:tcPr>
            <w:tcW w:w="708"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8</w:t>
            </w:r>
          </w:p>
        </w:tc>
        <w:tc>
          <w:tcPr>
            <w:tcW w:w="709"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202</w:t>
            </w:r>
          </w:p>
        </w:tc>
        <w:tc>
          <w:tcPr>
            <w:tcW w:w="726"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0</w:t>
            </w:r>
          </w:p>
        </w:tc>
        <w:tc>
          <w:tcPr>
            <w:tcW w:w="709"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106</w:t>
            </w:r>
          </w:p>
        </w:tc>
        <w:tc>
          <w:tcPr>
            <w:tcW w:w="567"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3</w:t>
            </w:r>
          </w:p>
        </w:tc>
        <w:tc>
          <w:tcPr>
            <w:tcW w:w="567"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25</w:t>
            </w:r>
          </w:p>
        </w:tc>
        <w:tc>
          <w:tcPr>
            <w:tcW w:w="709" w:type="dxa"/>
            <w:shd w:val="clear" w:color="auto" w:fill="auto"/>
            <w:hideMark/>
          </w:tcPr>
          <w:p w:rsidR="004E7A33" w:rsidRPr="00B01FDE" w:rsidRDefault="004E7A33" w:rsidP="001F0F64">
            <w:pPr>
              <w:spacing w:after="0" w:line="240" w:lineRule="auto"/>
              <w:jc w:val="right"/>
              <w:rPr>
                <w:rFonts w:ascii="Times New Roman" w:eastAsia="Times New Roman" w:hAnsi="Times New Roman" w:cs="Times New Roman"/>
                <w:color w:val="000000"/>
                <w:lang w:eastAsia="sk-SK"/>
              </w:rPr>
            </w:pPr>
            <w:r w:rsidRPr="00B01FDE">
              <w:rPr>
                <w:rFonts w:ascii="Times New Roman" w:eastAsia="Times New Roman" w:hAnsi="Times New Roman" w:cs="Times New Roman"/>
                <w:color w:val="000000"/>
                <w:lang w:eastAsia="sk-SK"/>
              </w:rPr>
              <w:t>368</w:t>
            </w:r>
          </w:p>
        </w:tc>
      </w:tr>
      <w:tr w:rsidR="004E7A33" w:rsidRPr="00B01FDE" w:rsidTr="001F0F64">
        <w:trPr>
          <w:trHeight w:val="283"/>
        </w:trPr>
        <w:tc>
          <w:tcPr>
            <w:tcW w:w="682" w:type="dxa"/>
            <w:shd w:val="clear" w:color="auto" w:fill="auto"/>
            <w:noWrap/>
            <w:vAlign w:val="bottom"/>
            <w:hideMark/>
          </w:tcPr>
          <w:p w:rsidR="004E7A33" w:rsidRPr="00B01FDE" w:rsidRDefault="004E7A33" w:rsidP="001F0F64">
            <w:pPr>
              <w:spacing w:after="0" w:line="240" w:lineRule="auto"/>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V %</w:t>
            </w:r>
          </w:p>
        </w:tc>
        <w:tc>
          <w:tcPr>
            <w:tcW w:w="741" w:type="dxa"/>
            <w:shd w:val="clear" w:color="auto" w:fill="auto"/>
            <w:noWrap/>
            <w:vAlign w:val="bottom"/>
            <w:hideMark/>
          </w:tcPr>
          <w:p w:rsidR="004E7A33" w:rsidRPr="00B01FDE" w:rsidRDefault="004E7A33" w:rsidP="001F0F64">
            <w:pPr>
              <w:spacing w:after="0" w:line="240" w:lineRule="auto"/>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 </w:t>
            </w:r>
          </w:p>
        </w:tc>
        <w:tc>
          <w:tcPr>
            <w:tcW w:w="680"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38,4%</w:t>
            </w:r>
          </w:p>
        </w:tc>
        <w:tc>
          <w:tcPr>
            <w:tcW w:w="709"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1,0%</w:t>
            </w:r>
          </w:p>
        </w:tc>
        <w:tc>
          <w:tcPr>
            <w:tcW w:w="709"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0,5%</w:t>
            </w:r>
          </w:p>
        </w:tc>
        <w:tc>
          <w:tcPr>
            <w:tcW w:w="693"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2,5%</w:t>
            </w:r>
          </w:p>
        </w:tc>
        <w:tc>
          <w:tcPr>
            <w:tcW w:w="563"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7,8%</w:t>
            </w:r>
          </w:p>
        </w:tc>
        <w:tc>
          <w:tcPr>
            <w:tcW w:w="719"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3,5%</w:t>
            </w:r>
          </w:p>
        </w:tc>
        <w:tc>
          <w:tcPr>
            <w:tcW w:w="583"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1,7%</w:t>
            </w:r>
          </w:p>
        </w:tc>
        <w:tc>
          <w:tcPr>
            <w:tcW w:w="708"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1,0%</w:t>
            </w:r>
          </w:p>
        </w:tc>
        <w:tc>
          <w:tcPr>
            <w:tcW w:w="709"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26,2%</w:t>
            </w:r>
          </w:p>
        </w:tc>
        <w:tc>
          <w:tcPr>
            <w:tcW w:w="726"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0,0%</w:t>
            </w:r>
          </w:p>
        </w:tc>
        <w:tc>
          <w:tcPr>
            <w:tcW w:w="709"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13,7%</w:t>
            </w:r>
          </w:p>
        </w:tc>
        <w:tc>
          <w:tcPr>
            <w:tcW w:w="567"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0,4%</w:t>
            </w:r>
          </w:p>
        </w:tc>
        <w:tc>
          <w:tcPr>
            <w:tcW w:w="567"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3,2%</w:t>
            </w:r>
          </w:p>
        </w:tc>
        <w:tc>
          <w:tcPr>
            <w:tcW w:w="709" w:type="dxa"/>
            <w:shd w:val="clear" w:color="auto" w:fill="auto"/>
            <w:noWrap/>
            <w:vAlign w:val="bottom"/>
            <w:hideMark/>
          </w:tcPr>
          <w:p w:rsidR="004E7A33" w:rsidRPr="00B01FDE" w:rsidRDefault="004E7A33" w:rsidP="001F0F64">
            <w:pPr>
              <w:spacing w:after="0" w:line="240" w:lineRule="auto"/>
              <w:jc w:val="right"/>
              <w:rPr>
                <w:rFonts w:ascii="Times New Roman" w:eastAsia="Times New Roman" w:hAnsi="Times New Roman" w:cs="Times New Roman"/>
                <w:color w:val="000000"/>
                <w:sz w:val="20"/>
                <w:szCs w:val="20"/>
                <w:lang w:eastAsia="sk-SK"/>
              </w:rPr>
            </w:pPr>
            <w:r w:rsidRPr="00B01FDE">
              <w:rPr>
                <w:rFonts w:ascii="Times New Roman" w:eastAsia="Times New Roman" w:hAnsi="Times New Roman" w:cs="Times New Roman"/>
                <w:color w:val="000000"/>
                <w:sz w:val="20"/>
                <w:szCs w:val="20"/>
                <w:lang w:eastAsia="sk-SK"/>
              </w:rPr>
              <w:t>47,7%</w:t>
            </w:r>
          </w:p>
        </w:tc>
      </w:tr>
    </w:tbl>
    <w:p w:rsidR="004E7A33" w:rsidRPr="004E7A33" w:rsidRDefault="004E7A33" w:rsidP="004E7A33">
      <w:pPr>
        <w:spacing w:line="240" w:lineRule="auto"/>
        <w:jc w:val="both"/>
        <w:rPr>
          <w:rFonts w:ascii="Times New Roman" w:hAnsi="Times New Roman" w:cs="Times New Roman"/>
          <w:sz w:val="24"/>
        </w:rPr>
      </w:pPr>
      <w:r w:rsidRPr="004E7A33">
        <w:rPr>
          <w:rFonts w:ascii="Times New Roman" w:hAnsi="Times New Roman" w:cs="Times New Roman"/>
          <w:sz w:val="24"/>
        </w:rPr>
        <w:t>Zdroj: Obyvateľstvo podľa ekonomickej aktivity, 2013</w:t>
      </w:r>
    </w:p>
    <w:p w:rsidR="004E7A33" w:rsidRPr="004E7A33" w:rsidRDefault="004E7A33" w:rsidP="004E7A33">
      <w:pPr>
        <w:spacing w:line="240" w:lineRule="auto"/>
        <w:jc w:val="both"/>
        <w:rPr>
          <w:rFonts w:ascii="Times New Roman" w:hAnsi="Times New Roman" w:cs="Times New Roman"/>
          <w:sz w:val="24"/>
        </w:rPr>
      </w:pPr>
      <w:r w:rsidRPr="004E7A33">
        <w:rPr>
          <w:rFonts w:ascii="Times New Roman" w:hAnsi="Times New Roman" w:cs="Times New Roman"/>
          <w:sz w:val="24"/>
        </w:rPr>
        <w:t>Graf – Ekonomická obyvateľstva v %</w:t>
      </w:r>
    </w:p>
    <w:p w:rsidR="004E7A33" w:rsidRPr="004E7A33" w:rsidRDefault="004E7A33" w:rsidP="004E7A33">
      <w:pPr>
        <w:spacing w:line="240" w:lineRule="auto"/>
        <w:jc w:val="both"/>
        <w:rPr>
          <w:rFonts w:ascii="Times New Roman" w:hAnsi="Times New Roman" w:cs="Times New Roman"/>
          <w:sz w:val="24"/>
        </w:rPr>
      </w:pPr>
      <w:r w:rsidRPr="00590A6C">
        <w:rPr>
          <w:noProof/>
          <w:lang w:eastAsia="sk-SK"/>
        </w:rPr>
        <w:lastRenderedPageBreak/>
        <w:drawing>
          <wp:inline distT="0" distB="0" distL="0" distR="0">
            <wp:extent cx="5126156" cy="2738755"/>
            <wp:effectExtent l="19050" t="0" r="17344" b="4445"/>
            <wp:docPr id="17"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7A33" w:rsidRPr="004E7A33" w:rsidRDefault="004E7A33" w:rsidP="004E7A33">
      <w:pPr>
        <w:spacing w:line="240" w:lineRule="auto"/>
        <w:jc w:val="both"/>
        <w:rPr>
          <w:rFonts w:ascii="Times New Roman" w:hAnsi="Times New Roman" w:cs="Times New Roman"/>
          <w:sz w:val="24"/>
        </w:rPr>
      </w:pPr>
      <w:r w:rsidRPr="004E7A33">
        <w:rPr>
          <w:rFonts w:ascii="Times New Roman" w:hAnsi="Times New Roman" w:cs="Times New Roman"/>
          <w:sz w:val="24"/>
        </w:rPr>
        <w:t>Zdroj: Tabuľka</w:t>
      </w:r>
    </w:p>
    <w:p w:rsidR="00A251D5" w:rsidRPr="00A251D5" w:rsidRDefault="00A251D5" w:rsidP="008E26A4">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Ekonomicky aktívne obyvateľstvo</w:t>
      </w:r>
    </w:p>
    <w:p w:rsidR="00A806B8" w:rsidRDefault="00A806B8" w:rsidP="00590A6C">
      <w:pPr>
        <w:spacing w:line="240" w:lineRule="auto"/>
        <w:jc w:val="both"/>
        <w:rPr>
          <w:rFonts w:ascii="Times New Roman" w:hAnsi="Times New Roman" w:cs="Times New Roman"/>
          <w:sz w:val="24"/>
        </w:rPr>
      </w:pPr>
      <w:r>
        <w:rPr>
          <w:rFonts w:ascii="Times New Roman" w:hAnsi="Times New Roman" w:cs="Times New Roman"/>
          <w:sz w:val="24"/>
        </w:rPr>
        <w:t xml:space="preserve">Z pracujúceho obyvateľstva (368 obyvateľov), </w:t>
      </w:r>
      <w:r w:rsidR="00DC4244">
        <w:rPr>
          <w:rFonts w:ascii="Times New Roman" w:hAnsi="Times New Roman" w:cs="Times New Roman"/>
          <w:sz w:val="24"/>
        </w:rPr>
        <w:t>najväčší podiel obyvateľstva pracuje vo výrobe počítačových, elektronických a optických výrobkov (8,4 %). V špecializovaných stavebných prácach pracuje 7,9 % obyvateľstva.</w:t>
      </w:r>
    </w:p>
    <w:p w:rsidR="00DC4244" w:rsidRDefault="00DC4244" w:rsidP="00590A6C">
      <w:pPr>
        <w:spacing w:line="240" w:lineRule="auto"/>
        <w:jc w:val="both"/>
        <w:rPr>
          <w:rFonts w:ascii="Times New Roman" w:hAnsi="Times New Roman" w:cs="Times New Roman"/>
          <w:sz w:val="24"/>
        </w:rPr>
      </w:pPr>
      <w:r>
        <w:rPr>
          <w:rFonts w:ascii="Times New Roman" w:hAnsi="Times New Roman" w:cs="Times New Roman"/>
          <w:sz w:val="24"/>
        </w:rPr>
        <w:t>Tabuľka – Odvetvia hospodárstva</w:t>
      </w:r>
    </w:p>
    <w:tbl>
      <w:tblPr>
        <w:tblW w:w="89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4"/>
        <w:gridCol w:w="1146"/>
      </w:tblGrid>
      <w:tr w:rsidR="00A806B8" w:rsidRPr="00DC4244" w:rsidTr="00A806B8">
        <w:trPr>
          <w:trHeight w:val="255"/>
        </w:trPr>
        <w:tc>
          <w:tcPr>
            <w:tcW w:w="7814" w:type="dxa"/>
            <w:shd w:val="clear" w:color="auto" w:fill="auto"/>
            <w:vAlign w:val="center"/>
            <w:hideMark/>
          </w:tcPr>
          <w:p w:rsidR="00A806B8" w:rsidRPr="00DC4244" w:rsidRDefault="00A806B8" w:rsidP="00A806B8">
            <w:pPr>
              <w:spacing w:after="0" w:line="240" w:lineRule="auto"/>
              <w:rPr>
                <w:rFonts w:ascii="Times New Roman" w:eastAsia="Times New Roman" w:hAnsi="Times New Roman" w:cs="Times New Roman"/>
                <w:b/>
                <w:sz w:val="24"/>
                <w:szCs w:val="24"/>
                <w:lang w:eastAsia="sk-SK"/>
              </w:rPr>
            </w:pPr>
            <w:r w:rsidRPr="00DC4244">
              <w:rPr>
                <w:rFonts w:ascii="Times New Roman" w:eastAsia="Times New Roman" w:hAnsi="Times New Roman" w:cs="Times New Roman"/>
                <w:b/>
                <w:sz w:val="24"/>
                <w:szCs w:val="24"/>
                <w:lang w:eastAsia="sk-SK"/>
              </w:rPr>
              <w:t>Odvetvie hospodárstva</w:t>
            </w:r>
          </w:p>
        </w:tc>
        <w:tc>
          <w:tcPr>
            <w:tcW w:w="1146" w:type="dxa"/>
            <w:shd w:val="clear" w:color="auto" w:fill="auto"/>
            <w:vAlign w:val="center"/>
            <w:hideMark/>
          </w:tcPr>
          <w:p w:rsidR="00A806B8" w:rsidRPr="00DC4244" w:rsidRDefault="00A806B8" w:rsidP="00A806B8">
            <w:pPr>
              <w:spacing w:after="0" w:line="240" w:lineRule="auto"/>
              <w:rPr>
                <w:rFonts w:ascii="Times New Roman" w:eastAsia="Times New Roman" w:hAnsi="Times New Roman" w:cs="Times New Roman"/>
                <w:b/>
                <w:sz w:val="24"/>
                <w:szCs w:val="24"/>
                <w:lang w:eastAsia="sk-SK"/>
              </w:rPr>
            </w:pPr>
            <w:r w:rsidRPr="00DC4244">
              <w:rPr>
                <w:rFonts w:ascii="Times New Roman" w:eastAsia="Times New Roman" w:hAnsi="Times New Roman" w:cs="Times New Roman"/>
                <w:b/>
                <w:sz w:val="24"/>
                <w:szCs w:val="24"/>
                <w:lang w:eastAsia="sk-SK"/>
              </w:rPr>
              <w:t>spolu</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Pestovanie plodín a chov zvierat, poľovníctvo a služby s tým súvisiace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Lesníctvo a ťažba dreva</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Dobývanie kovových rúd</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potravín</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5</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nápojov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textilu</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odevov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papiera a papierových výrobkov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koksu a rafinovaných ropných produktov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chemikálií a chemických produktov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výrobkov z gumy a plastu</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6</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ostatných nekovových minerálnych výrobkov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a spracovanie kovov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kovových konštrukcií okrem strojov a zariadení</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počítačových, elektronických a optických výrobkov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31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elektrických zariadení</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7</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strojov a zariadení i. n.</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motorových vozidiel, návesov a prívesov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Výroba nábytku</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Oprava a inštalácia strojov a prístrojov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Zber, úprava a dodávka vody</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lastRenderedPageBreak/>
              <w:t>Zber, spracúvanie a likvidácia odpadov; recyklácia materiálov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Výstavba budov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Inžinierske stavby</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5</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Špecializované stavebné práce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20</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Veľkoobchod a maloobchod a oprava motorových vozidiel a motocyklov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Veľkoobchod, okrem motorových vozidiel a motocyklov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Maloobchod okrem motorových vozidiel a motocyklov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Pozemná doprava a doprava potrubím</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7</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Letecká doprava</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Skladové a pomocné činnosti v doprave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6</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Poštové služby a služby kuriérov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Činnosti reštaurácií a pohostinstiev</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7</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Nakladateľské činnosti</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Telekomunikácie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Počítačové programovanie, poradenstvo a súvisiace služby</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Poistenie, zaistenie a dôchodkové zabezpečenie okrem povinného sociálneho poistenia</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Pomocné činnosti finančných služieb a poistenia</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Činnosti v oblasti nehnuteľností</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Právne a účtovnícke činnosti</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Vedenie firiem; poradenstvo v oblasti riadenia</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6</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Architektonické a inžinierske činnosti; technické testovanie a analýzy</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Reklama a prieskum trhu</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Sprostredkovanie práce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Bezpečnostné a pátracie služby</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Činnosti súvisiace s údržbou zariadení a krajinnou úpravou</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Administratívne, pomocné kancelárske a iné obchodné pomocné činnosti</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Verejná správa a obrana; povinné sociálne zabezpečenie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20</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Vzdelávanie</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13</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Zdravotníctvo</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5</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Sociálna práca bez ubytovania</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Športové, zábavné a rekreačné činnosti</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1</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Činnosti členských organizácií</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Ostatné osobné služby</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4</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Nezistené</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sz w:val="24"/>
                <w:szCs w:val="24"/>
                <w:lang w:eastAsia="sk-SK"/>
              </w:rPr>
            </w:pPr>
            <w:r w:rsidRPr="00DC4244">
              <w:rPr>
                <w:rFonts w:ascii="Times New Roman" w:eastAsia="Times New Roman" w:hAnsi="Times New Roman" w:cs="Times New Roman"/>
                <w:sz w:val="24"/>
                <w:szCs w:val="24"/>
                <w:lang w:eastAsia="sk-SK"/>
              </w:rPr>
              <w:t>29</w:t>
            </w:r>
          </w:p>
        </w:tc>
      </w:tr>
      <w:tr w:rsidR="00A806B8" w:rsidRPr="00DC4244" w:rsidTr="00A806B8">
        <w:trPr>
          <w:trHeight w:val="255"/>
        </w:trPr>
        <w:tc>
          <w:tcPr>
            <w:tcW w:w="7814"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b/>
                <w:bCs/>
                <w:sz w:val="24"/>
                <w:szCs w:val="24"/>
                <w:lang w:eastAsia="sk-SK"/>
              </w:rPr>
            </w:pPr>
            <w:r w:rsidRPr="00DC4244">
              <w:rPr>
                <w:rFonts w:ascii="Times New Roman" w:eastAsia="Times New Roman" w:hAnsi="Times New Roman" w:cs="Times New Roman"/>
                <w:b/>
                <w:bCs/>
                <w:sz w:val="24"/>
                <w:szCs w:val="24"/>
                <w:lang w:eastAsia="sk-SK"/>
              </w:rPr>
              <w:t>Spolu</w:t>
            </w:r>
          </w:p>
        </w:tc>
        <w:tc>
          <w:tcPr>
            <w:tcW w:w="1146" w:type="dxa"/>
            <w:shd w:val="clear" w:color="auto" w:fill="auto"/>
            <w:noWrap/>
            <w:vAlign w:val="center"/>
            <w:hideMark/>
          </w:tcPr>
          <w:p w:rsidR="00A806B8" w:rsidRPr="00DC4244" w:rsidRDefault="00A806B8" w:rsidP="00A806B8">
            <w:pPr>
              <w:spacing w:after="0" w:line="240" w:lineRule="auto"/>
              <w:rPr>
                <w:rFonts w:ascii="Times New Roman" w:eastAsia="Times New Roman" w:hAnsi="Times New Roman" w:cs="Times New Roman"/>
                <w:b/>
                <w:bCs/>
                <w:sz w:val="24"/>
                <w:szCs w:val="24"/>
                <w:lang w:eastAsia="sk-SK"/>
              </w:rPr>
            </w:pPr>
            <w:r w:rsidRPr="00DC4244">
              <w:rPr>
                <w:rFonts w:ascii="Times New Roman" w:eastAsia="Times New Roman" w:hAnsi="Times New Roman" w:cs="Times New Roman"/>
                <w:b/>
                <w:bCs/>
                <w:sz w:val="24"/>
                <w:szCs w:val="24"/>
                <w:lang w:eastAsia="sk-SK"/>
              </w:rPr>
              <w:t>368</w:t>
            </w:r>
          </w:p>
        </w:tc>
      </w:tr>
    </w:tbl>
    <w:p w:rsidR="00590A6C" w:rsidRDefault="00DC4244" w:rsidP="00590A6C">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DC4244" w:rsidRDefault="00DC4244" w:rsidP="00590A6C">
      <w:pPr>
        <w:spacing w:line="240" w:lineRule="auto"/>
        <w:jc w:val="both"/>
        <w:rPr>
          <w:rFonts w:ascii="Times New Roman" w:hAnsi="Times New Roman" w:cs="Times New Roman"/>
          <w:sz w:val="24"/>
        </w:rPr>
      </w:pPr>
      <w:r>
        <w:rPr>
          <w:rFonts w:ascii="Times New Roman" w:hAnsi="Times New Roman" w:cs="Times New Roman"/>
          <w:sz w:val="24"/>
        </w:rPr>
        <w:t>Graf – Odvetvia hospodárstva v %</w:t>
      </w:r>
    </w:p>
    <w:p w:rsidR="00A806B8" w:rsidRDefault="00A806B8" w:rsidP="00590A6C">
      <w:pPr>
        <w:spacing w:line="240" w:lineRule="auto"/>
        <w:jc w:val="both"/>
        <w:rPr>
          <w:rFonts w:ascii="Times New Roman" w:hAnsi="Times New Roman" w:cs="Times New Roman"/>
          <w:sz w:val="24"/>
        </w:rPr>
      </w:pPr>
      <w:r w:rsidRPr="00A806B8">
        <w:rPr>
          <w:rFonts w:ascii="Times New Roman" w:hAnsi="Times New Roman" w:cs="Times New Roman"/>
          <w:noProof/>
          <w:sz w:val="24"/>
          <w:lang w:eastAsia="sk-SK"/>
        </w:rPr>
        <w:lastRenderedPageBreak/>
        <w:drawing>
          <wp:inline distT="0" distB="0" distL="0" distR="0">
            <wp:extent cx="5760720" cy="3007137"/>
            <wp:effectExtent l="19050" t="0" r="11430" b="2763"/>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4244" w:rsidRDefault="00DC4244" w:rsidP="00590A6C">
      <w:pPr>
        <w:spacing w:line="240" w:lineRule="auto"/>
        <w:jc w:val="both"/>
        <w:rPr>
          <w:rFonts w:ascii="Times New Roman" w:hAnsi="Times New Roman" w:cs="Times New Roman"/>
          <w:sz w:val="24"/>
        </w:rPr>
      </w:pPr>
      <w:r>
        <w:rPr>
          <w:rFonts w:ascii="Times New Roman" w:hAnsi="Times New Roman" w:cs="Times New Roman"/>
          <w:sz w:val="24"/>
        </w:rPr>
        <w:t>Zdroj: Tabuľka</w:t>
      </w:r>
    </w:p>
    <w:p w:rsidR="00DC4244" w:rsidRPr="00590A6C" w:rsidRDefault="00DC4244" w:rsidP="00590A6C">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Zamestnanosť/nezamestnanosť</w:t>
      </w:r>
    </w:p>
    <w:p w:rsidR="00F4322C" w:rsidRDefault="00B122E6" w:rsidP="00F4322C">
      <w:pPr>
        <w:spacing w:line="240" w:lineRule="auto"/>
        <w:jc w:val="both"/>
        <w:rPr>
          <w:rFonts w:ascii="Times New Roman" w:hAnsi="Times New Roman" w:cs="Times New Roman"/>
          <w:sz w:val="24"/>
        </w:rPr>
      </w:pPr>
      <w:r>
        <w:rPr>
          <w:rFonts w:ascii="Times New Roman" w:hAnsi="Times New Roman" w:cs="Times New Roman"/>
          <w:sz w:val="24"/>
        </w:rPr>
        <w:t>V obci Jatov bolo za posledných 10 rokov najviac nezamestnaných v roku 2009 a to až 62 obyvateľov. Najmenej nezamestnaných bolo v roku 2008 s počtom 27.</w:t>
      </w:r>
    </w:p>
    <w:p w:rsidR="00B122E6" w:rsidRPr="00F4322C" w:rsidRDefault="00B122E6" w:rsidP="00F4322C">
      <w:pPr>
        <w:spacing w:line="240" w:lineRule="auto"/>
        <w:jc w:val="both"/>
        <w:rPr>
          <w:rFonts w:ascii="Times New Roman" w:hAnsi="Times New Roman" w:cs="Times New Roman"/>
          <w:sz w:val="24"/>
        </w:rPr>
      </w:pPr>
      <w:r>
        <w:rPr>
          <w:rFonts w:ascii="Times New Roman" w:hAnsi="Times New Roman" w:cs="Times New Roman"/>
          <w:sz w:val="24"/>
        </w:rPr>
        <w:t>Tabuľka – Počet nezamestnaných</w:t>
      </w:r>
    </w:p>
    <w:tbl>
      <w:tblPr>
        <w:tblW w:w="8734" w:type="dxa"/>
        <w:tblInd w:w="65" w:type="dxa"/>
        <w:tblCellMar>
          <w:left w:w="70" w:type="dxa"/>
          <w:right w:w="70"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F4322C" w:rsidRPr="00F4322C" w:rsidTr="00F4322C">
        <w:trPr>
          <w:trHeight w:val="315"/>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Rok</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2005</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2006</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2007</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2008</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2009</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2010</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2011</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2012</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2013</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b/>
                <w:bCs/>
                <w:color w:val="000000"/>
                <w:sz w:val="24"/>
                <w:szCs w:val="24"/>
                <w:lang w:eastAsia="sk-SK"/>
              </w:rPr>
            </w:pPr>
            <w:r w:rsidRPr="00F4322C">
              <w:rPr>
                <w:rFonts w:ascii="Times New Roman" w:eastAsia="Times New Roman" w:hAnsi="Times New Roman" w:cs="Times New Roman"/>
                <w:b/>
                <w:bCs/>
                <w:color w:val="000000"/>
                <w:sz w:val="24"/>
                <w:szCs w:val="24"/>
                <w:lang w:eastAsia="sk-SK"/>
              </w:rPr>
              <w:t>2014</w:t>
            </w:r>
          </w:p>
        </w:tc>
      </w:tr>
      <w:tr w:rsidR="00F4322C" w:rsidRPr="00F4322C" w:rsidTr="00F4322C">
        <w:trPr>
          <w:trHeight w:val="315"/>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Jatov</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49</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33</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37</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27</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62</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35</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47</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45</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57</w:t>
            </w:r>
          </w:p>
        </w:tc>
        <w:tc>
          <w:tcPr>
            <w:tcW w:w="794" w:type="dxa"/>
            <w:tcBorders>
              <w:top w:val="nil"/>
              <w:left w:val="nil"/>
              <w:bottom w:val="single" w:sz="4" w:space="0" w:color="auto"/>
              <w:right w:val="single" w:sz="4" w:space="0" w:color="auto"/>
            </w:tcBorders>
            <w:shd w:val="clear" w:color="auto" w:fill="auto"/>
            <w:vAlign w:val="center"/>
            <w:hideMark/>
          </w:tcPr>
          <w:p w:rsidR="00F4322C" w:rsidRPr="00F4322C" w:rsidRDefault="00F4322C" w:rsidP="00F4322C">
            <w:pPr>
              <w:spacing w:after="0" w:line="240" w:lineRule="auto"/>
              <w:jc w:val="center"/>
              <w:rPr>
                <w:rFonts w:ascii="Times New Roman" w:eastAsia="Times New Roman" w:hAnsi="Times New Roman" w:cs="Times New Roman"/>
                <w:color w:val="000000"/>
                <w:sz w:val="24"/>
                <w:szCs w:val="24"/>
                <w:lang w:eastAsia="sk-SK"/>
              </w:rPr>
            </w:pPr>
            <w:r w:rsidRPr="00F4322C">
              <w:rPr>
                <w:rFonts w:ascii="Times New Roman" w:eastAsia="Times New Roman" w:hAnsi="Times New Roman" w:cs="Times New Roman"/>
                <w:color w:val="000000"/>
                <w:sz w:val="24"/>
                <w:szCs w:val="24"/>
                <w:lang w:eastAsia="sk-SK"/>
              </w:rPr>
              <w:t>46</w:t>
            </w:r>
          </w:p>
        </w:tc>
      </w:tr>
    </w:tbl>
    <w:p w:rsidR="00F4322C" w:rsidRDefault="00B122E6" w:rsidP="00F4322C">
      <w:pPr>
        <w:spacing w:line="240" w:lineRule="auto"/>
        <w:jc w:val="both"/>
        <w:rPr>
          <w:rFonts w:ascii="Times New Roman" w:hAnsi="Times New Roman" w:cs="Times New Roman"/>
          <w:sz w:val="24"/>
        </w:rPr>
      </w:pPr>
      <w:r>
        <w:rPr>
          <w:rFonts w:ascii="Times New Roman" w:hAnsi="Times New Roman" w:cs="Times New Roman"/>
          <w:sz w:val="24"/>
        </w:rPr>
        <w:t>Zdroj: Štatistický úrad SR</w:t>
      </w:r>
    </w:p>
    <w:p w:rsidR="00B122E6" w:rsidRPr="00B122E6" w:rsidRDefault="00B122E6" w:rsidP="00F4322C">
      <w:pPr>
        <w:spacing w:line="240" w:lineRule="auto"/>
        <w:jc w:val="both"/>
        <w:rPr>
          <w:rFonts w:ascii="Times New Roman" w:hAnsi="Times New Roman" w:cs="Times New Roman"/>
          <w:sz w:val="24"/>
        </w:rPr>
      </w:pPr>
      <w:r>
        <w:rPr>
          <w:rFonts w:ascii="Times New Roman" w:hAnsi="Times New Roman" w:cs="Times New Roman"/>
          <w:sz w:val="24"/>
        </w:rPr>
        <w:t>Graf – Počet nezamestnaných</w:t>
      </w:r>
    </w:p>
    <w:p w:rsidR="00F4322C" w:rsidRDefault="00F4322C" w:rsidP="00F4322C">
      <w:pPr>
        <w:spacing w:line="240" w:lineRule="auto"/>
        <w:jc w:val="both"/>
        <w:rPr>
          <w:rFonts w:ascii="Times New Roman" w:hAnsi="Times New Roman" w:cs="Times New Roman"/>
          <w:b/>
          <w:i/>
          <w:sz w:val="24"/>
        </w:rPr>
      </w:pPr>
      <w:r w:rsidRPr="00F4322C">
        <w:rPr>
          <w:rFonts w:ascii="Times New Roman" w:hAnsi="Times New Roman" w:cs="Times New Roman"/>
          <w:b/>
          <w:i/>
          <w:noProof/>
          <w:sz w:val="24"/>
          <w:lang w:eastAsia="sk-SK"/>
        </w:rPr>
        <w:drawing>
          <wp:inline distT="0" distB="0" distL="0" distR="0">
            <wp:extent cx="5358168" cy="2738755"/>
            <wp:effectExtent l="19050" t="0" r="13932" b="4445"/>
            <wp:docPr id="1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22E6" w:rsidRPr="00B122E6" w:rsidRDefault="00B122E6" w:rsidP="00F4322C">
      <w:pPr>
        <w:spacing w:line="240" w:lineRule="auto"/>
        <w:jc w:val="both"/>
        <w:rPr>
          <w:rFonts w:ascii="Times New Roman" w:hAnsi="Times New Roman" w:cs="Times New Roman"/>
          <w:sz w:val="24"/>
        </w:rPr>
      </w:pPr>
      <w:r>
        <w:rPr>
          <w:rFonts w:ascii="Times New Roman" w:hAnsi="Times New Roman" w:cs="Times New Roman"/>
          <w:sz w:val="24"/>
        </w:rPr>
        <w:t>Zdroj: Tabuľka</w:t>
      </w: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lastRenderedPageBreak/>
        <w:t>Zruční obyvatelia obce</w:t>
      </w:r>
    </w:p>
    <w:p w:rsidR="00BC544B" w:rsidRDefault="00BC544B" w:rsidP="00BC544B">
      <w:pPr>
        <w:spacing w:line="240" w:lineRule="auto"/>
        <w:jc w:val="both"/>
        <w:rPr>
          <w:rFonts w:ascii="Times New Roman" w:hAnsi="Times New Roman" w:cs="Times New Roman"/>
          <w:sz w:val="24"/>
        </w:rPr>
      </w:pPr>
      <w:r>
        <w:rPr>
          <w:rFonts w:ascii="Times New Roman" w:hAnsi="Times New Roman" w:cs="Times New Roman"/>
          <w:sz w:val="24"/>
        </w:rPr>
        <w:t>V obci žijú títo zruční obyvatelia:</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proofErr w:type="spellStart"/>
      <w:r w:rsidRPr="00BC544B">
        <w:rPr>
          <w:rFonts w:ascii="Times New Roman" w:hAnsi="Times New Roman" w:cs="Times New Roman"/>
          <w:sz w:val="24"/>
        </w:rPr>
        <w:t>Matúšek</w:t>
      </w:r>
      <w:proofErr w:type="spellEnd"/>
      <w:r w:rsidRPr="00BC544B">
        <w:rPr>
          <w:rFonts w:ascii="Times New Roman" w:hAnsi="Times New Roman" w:cs="Times New Roman"/>
          <w:sz w:val="24"/>
        </w:rPr>
        <w:t xml:space="preserve"> Ladislav - výroba - metly - pletenie košíkov, korbáčov, včelárstvo</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proofErr w:type="spellStart"/>
      <w:r w:rsidRPr="00BC544B">
        <w:rPr>
          <w:rFonts w:ascii="Times New Roman" w:hAnsi="Times New Roman" w:cs="Times New Roman"/>
          <w:sz w:val="24"/>
        </w:rPr>
        <w:t>Rábik</w:t>
      </w:r>
      <w:proofErr w:type="spellEnd"/>
      <w:r w:rsidRPr="00BC544B">
        <w:rPr>
          <w:rFonts w:ascii="Times New Roman" w:hAnsi="Times New Roman" w:cs="Times New Roman"/>
          <w:sz w:val="24"/>
        </w:rPr>
        <w:t xml:space="preserve"> Eduard - pletenie korbáčov</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r w:rsidRPr="00BC544B">
        <w:rPr>
          <w:rFonts w:ascii="Times New Roman" w:hAnsi="Times New Roman" w:cs="Times New Roman"/>
          <w:sz w:val="24"/>
        </w:rPr>
        <w:t>Dubovská Ingrid - kresba, maľovanie, ručná výroba, výrobky, ručná práca /</w:t>
      </w:r>
      <w:proofErr w:type="spellStart"/>
      <w:r w:rsidRPr="00BC544B">
        <w:rPr>
          <w:rFonts w:ascii="Times New Roman" w:hAnsi="Times New Roman" w:cs="Times New Roman"/>
          <w:sz w:val="24"/>
        </w:rPr>
        <w:t>handmade</w:t>
      </w:r>
      <w:proofErr w:type="spellEnd"/>
      <w:r w:rsidRPr="00BC544B">
        <w:rPr>
          <w:rFonts w:ascii="Times New Roman" w:hAnsi="Times New Roman" w:cs="Times New Roman"/>
          <w:sz w:val="24"/>
        </w:rPr>
        <w:t>/, aranžovanie</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proofErr w:type="spellStart"/>
      <w:r w:rsidRPr="00BC544B">
        <w:rPr>
          <w:rFonts w:ascii="Times New Roman" w:hAnsi="Times New Roman" w:cs="Times New Roman"/>
          <w:sz w:val="24"/>
        </w:rPr>
        <w:t>Vinceová</w:t>
      </w:r>
      <w:proofErr w:type="spellEnd"/>
      <w:r w:rsidRPr="00BC544B">
        <w:rPr>
          <w:rFonts w:ascii="Times New Roman" w:hAnsi="Times New Roman" w:cs="Times New Roman"/>
          <w:sz w:val="24"/>
        </w:rPr>
        <w:t xml:space="preserve"> Bernadeta - ručná výroba, výrobky, ručná práca /</w:t>
      </w:r>
      <w:proofErr w:type="spellStart"/>
      <w:r w:rsidRPr="00BC544B">
        <w:rPr>
          <w:rFonts w:ascii="Times New Roman" w:hAnsi="Times New Roman" w:cs="Times New Roman"/>
          <w:sz w:val="24"/>
        </w:rPr>
        <w:t>handmade</w:t>
      </w:r>
      <w:proofErr w:type="spellEnd"/>
      <w:r w:rsidRPr="00BC544B">
        <w:rPr>
          <w:rFonts w:ascii="Times New Roman" w:hAnsi="Times New Roman" w:cs="Times New Roman"/>
          <w:sz w:val="24"/>
        </w:rPr>
        <w:t>/, aranžovanie</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proofErr w:type="spellStart"/>
      <w:r w:rsidRPr="00BC544B">
        <w:rPr>
          <w:rFonts w:ascii="Times New Roman" w:hAnsi="Times New Roman" w:cs="Times New Roman"/>
          <w:sz w:val="24"/>
        </w:rPr>
        <w:t>Maďarová</w:t>
      </w:r>
      <w:proofErr w:type="spellEnd"/>
      <w:r w:rsidRPr="00BC544B">
        <w:rPr>
          <w:rFonts w:ascii="Times New Roman" w:hAnsi="Times New Roman" w:cs="Times New Roman"/>
          <w:sz w:val="24"/>
        </w:rPr>
        <w:t xml:space="preserve"> Katarína - vyšívanie, </w:t>
      </w:r>
      <w:proofErr w:type="spellStart"/>
      <w:r w:rsidRPr="00BC544B">
        <w:rPr>
          <w:rFonts w:ascii="Times New Roman" w:hAnsi="Times New Roman" w:cs="Times New Roman"/>
          <w:sz w:val="24"/>
        </w:rPr>
        <w:t>hačkovanie</w:t>
      </w:r>
      <w:proofErr w:type="spellEnd"/>
      <w:r w:rsidRPr="00BC544B">
        <w:rPr>
          <w:rFonts w:ascii="Times New Roman" w:hAnsi="Times New Roman" w:cs="Times New Roman"/>
          <w:sz w:val="24"/>
        </w:rPr>
        <w:t>, štrikovanie</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proofErr w:type="spellStart"/>
      <w:r w:rsidRPr="00BC544B">
        <w:rPr>
          <w:rFonts w:ascii="Times New Roman" w:hAnsi="Times New Roman" w:cs="Times New Roman"/>
          <w:sz w:val="24"/>
        </w:rPr>
        <w:t>Širka</w:t>
      </w:r>
      <w:proofErr w:type="spellEnd"/>
      <w:r w:rsidRPr="00BC544B">
        <w:rPr>
          <w:rFonts w:ascii="Times New Roman" w:hAnsi="Times New Roman" w:cs="Times New Roman"/>
          <w:sz w:val="24"/>
        </w:rPr>
        <w:t xml:space="preserve"> Martin - vyrezávanie do ovocia a zeleniny /</w:t>
      </w:r>
      <w:proofErr w:type="spellStart"/>
      <w:r w:rsidRPr="00BC544B">
        <w:rPr>
          <w:rFonts w:ascii="Times New Roman" w:hAnsi="Times New Roman" w:cs="Times New Roman"/>
          <w:sz w:val="24"/>
        </w:rPr>
        <w:t>carving</w:t>
      </w:r>
      <w:proofErr w:type="spellEnd"/>
      <w:r w:rsidRPr="00BC544B">
        <w:rPr>
          <w:rFonts w:ascii="Times New Roman" w:hAnsi="Times New Roman" w:cs="Times New Roman"/>
          <w:sz w:val="24"/>
        </w:rPr>
        <w:t xml:space="preserve"> </w:t>
      </w:r>
      <w:proofErr w:type="spellStart"/>
      <w:r w:rsidRPr="00BC544B">
        <w:rPr>
          <w:rFonts w:ascii="Times New Roman" w:hAnsi="Times New Roman" w:cs="Times New Roman"/>
          <w:sz w:val="24"/>
        </w:rPr>
        <w:t>fruit</w:t>
      </w:r>
      <w:proofErr w:type="spellEnd"/>
      <w:r w:rsidRPr="00BC544B">
        <w:rPr>
          <w:rFonts w:ascii="Times New Roman" w:hAnsi="Times New Roman" w:cs="Times New Roman"/>
          <w:sz w:val="24"/>
        </w:rPr>
        <w:t>/</w:t>
      </w:r>
    </w:p>
    <w:p w:rsidR="006C5FA6" w:rsidRPr="006C5FA6" w:rsidRDefault="00BC544B" w:rsidP="006C5FA6">
      <w:pPr>
        <w:pStyle w:val="Odsekzoznamu"/>
        <w:numPr>
          <w:ilvl w:val="0"/>
          <w:numId w:val="6"/>
        </w:numPr>
        <w:spacing w:line="240" w:lineRule="auto"/>
        <w:jc w:val="both"/>
        <w:rPr>
          <w:rFonts w:ascii="Times New Roman" w:hAnsi="Times New Roman" w:cs="Times New Roman"/>
          <w:sz w:val="24"/>
        </w:rPr>
      </w:pPr>
      <w:proofErr w:type="spellStart"/>
      <w:r w:rsidRPr="00BC544B">
        <w:rPr>
          <w:rFonts w:ascii="Times New Roman" w:hAnsi="Times New Roman" w:cs="Times New Roman"/>
          <w:sz w:val="24"/>
        </w:rPr>
        <w:t>Záhoráková</w:t>
      </w:r>
      <w:proofErr w:type="spellEnd"/>
      <w:r w:rsidRPr="00BC544B">
        <w:rPr>
          <w:rFonts w:ascii="Times New Roman" w:hAnsi="Times New Roman" w:cs="Times New Roman"/>
          <w:sz w:val="24"/>
        </w:rPr>
        <w:t xml:space="preserve"> Jana - šitie odevov, oprava odevov</w:t>
      </w:r>
    </w:p>
    <w:p w:rsidR="006C5FA6" w:rsidRPr="006C5FA6" w:rsidRDefault="006C5FA6" w:rsidP="006C5FA6">
      <w:pPr>
        <w:pStyle w:val="Odsekzoznamu"/>
        <w:numPr>
          <w:ilvl w:val="0"/>
          <w:numId w:val="6"/>
        </w:numPr>
        <w:spacing w:line="240" w:lineRule="auto"/>
        <w:jc w:val="both"/>
        <w:rPr>
          <w:rFonts w:ascii="Times New Roman" w:hAnsi="Times New Roman" w:cs="Times New Roman"/>
          <w:sz w:val="24"/>
        </w:rPr>
      </w:pPr>
      <w:proofErr w:type="spellStart"/>
      <w:r w:rsidRPr="006C5FA6">
        <w:rPr>
          <w:rFonts w:ascii="Times New Roman" w:hAnsi="Times New Roman" w:cs="Times New Roman"/>
          <w:sz w:val="24"/>
        </w:rPr>
        <w:t>Mišáková</w:t>
      </w:r>
      <w:proofErr w:type="spellEnd"/>
      <w:r w:rsidRPr="006C5FA6">
        <w:rPr>
          <w:rFonts w:ascii="Times New Roman" w:hAnsi="Times New Roman" w:cs="Times New Roman"/>
          <w:sz w:val="24"/>
        </w:rPr>
        <w:t xml:space="preserve"> Lenka</w:t>
      </w:r>
      <w:r>
        <w:rPr>
          <w:rFonts w:ascii="Times New Roman" w:hAnsi="Times New Roman" w:cs="Times New Roman"/>
          <w:sz w:val="24"/>
        </w:rPr>
        <w:t xml:space="preserve"> - c</w:t>
      </w:r>
      <w:r w:rsidRPr="006C5FA6">
        <w:rPr>
          <w:rFonts w:ascii="Times New Roman" w:hAnsi="Times New Roman" w:cs="Times New Roman"/>
          <w:sz w:val="24"/>
        </w:rPr>
        <w:t>ukrárske výrobky</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r w:rsidRPr="00BC544B">
        <w:rPr>
          <w:rFonts w:ascii="Times New Roman" w:hAnsi="Times New Roman" w:cs="Times New Roman"/>
          <w:i/>
          <w:sz w:val="24"/>
        </w:rPr>
        <w:t xml:space="preserve">Maliarske </w:t>
      </w:r>
      <w:r w:rsidR="006C5FA6">
        <w:rPr>
          <w:rFonts w:ascii="Times New Roman" w:hAnsi="Times New Roman" w:cs="Times New Roman"/>
          <w:i/>
          <w:sz w:val="24"/>
        </w:rPr>
        <w:t>p</w:t>
      </w:r>
      <w:r w:rsidRPr="00BC544B">
        <w:rPr>
          <w:rFonts w:ascii="Times New Roman" w:hAnsi="Times New Roman" w:cs="Times New Roman"/>
          <w:i/>
          <w:sz w:val="24"/>
        </w:rPr>
        <w:t>ráce</w:t>
      </w:r>
      <w:r w:rsidRPr="00BC544B">
        <w:rPr>
          <w:rFonts w:ascii="Times New Roman" w:hAnsi="Times New Roman" w:cs="Times New Roman"/>
          <w:sz w:val="24"/>
        </w:rPr>
        <w:t xml:space="preserve"> - Košťál Miroslav, Záhorák Patrik, </w:t>
      </w:r>
      <w:proofErr w:type="spellStart"/>
      <w:r w:rsidRPr="00BC544B">
        <w:rPr>
          <w:rFonts w:ascii="Times New Roman" w:hAnsi="Times New Roman" w:cs="Times New Roman"/>
          <w:sz w:val="24"/>
        </w:rPr>
        <w:t>Šemrinec</w:t>
      </w:r>
      <w:proofErr w:type="spellEnd"/>
      <w:r w:rsidRPr="00BC544B">
        <w:rPr>
          <w:rFonts w:ascii="Times New Roman" w:hAnsi="Times New Roman" w:cs="Times New Roman"/>
          <w:sz w:val="24"/>
        </w:rPr>
        <w:t xml:space="preserve"> Marián</w:t>
      </w:r>
      <w:r w:rsidR="006C5FA6">
        <w:rPr>
          <w:rFonts w:ascii="Times New Roman" w:hAnsi="Times New Roman" w:cs="Times New Roman"/>
          <w:sz w:val="24"/>
        </w:rPr>
        <w:t xml:space="preserve">, </w:t>
      </w:r>
      <w:r w:rsidR="006C5FA6" w:rsidRPr="006C5FA6">
        <w:rPr>
          <w:rFonts w:ascii="Times New Roman" w:hAnsi="Times New Roman" w:cs="Times New Roman"/>
          <w:sz w:val="24"/>
        </w:rPr>
        <w:t>Szabó Jozef</w:t>
      </w:r>
    </w:p>
    <w:p w:rsidR="00BC544B" w:rsidRPr="00BC544B" w:rsidRDefault="00BC544B" w:rsidP="00C119AA">
      <w:pPr>
        <w:pStyle w:val="Odsekzoznamu"/>
        <w:numPr>
          <w:ilvl w:val="0"/>
          <w:numId w:val="6"/>
        </w:numPr>
        <w:spacing w:line="240" w:lineRule="auto"/>
        <w:jc w:val="both"/>
        <w:rPr>
          <w:rFonts w:ascii="Times New Roman" w:hAnsi="Times New Roman" w:cs="Times New Roman"/>
          <w:sz w:val="24"/>
        </w:rPr>
      </w:pPr>
      <w:r w:rsidRPr="00BC544B">
        <w:rPr>
          <w:rFonts w:ascii="Times New Roman" w:hAnsi="Times New Roman" w:cs="Times New Roman"/>
          <w:i/>
          <w:sz w:val="24"/>
        </w:rPr>
        <w:t>Murárske práce</w:t>
      </w:r>
      <w:r w:rsidRPr="00BC544B">
        <w:rPr>
          <w:rFonts w:ascii="Times New Roman" w:hAnsi="Times New Roman" w:cs="Times New Roman"/>
          <w:sz w:val="24"/>
        </w:rPr>
        <w:t xml:space="preserve"> - Záhorák Patrik</w:t>
      </w:r>
    </w:p>
    <w:p w:rsidR="002B4C4B" w:rsidRPr="00BC544B" w:rsidRDefault="00BC544B" w:rsidP="00C119AA">
      <w:pPr>
        <w:pStyle w:val="Odsekzoznamu"/>
        <w:numPr>
          <w:ilvl w:val="0"/>
          <w:numId w:val="6"/>
        </w:numPr>
        <w:spacing w:line="240" w:lineRule="auto"/>
        <w:jc w:val="both"/>
        <w:rPr>
          <w:rFonts w:ascii="Times New Roman" w:hAnsi="Times New Roman" w:cs="Times New Roman"/>
          <w:sz w:val="24"/>
        </w:rPr>
      </w:pPr>
      <w:r w:rsidRPr="00BC544B">
        <w:rPr>
          <w:rFonts w:ascii="Times New Roman" w:hAnsi="Times New Roman" w:cs="Times New Roman"/>
          <w:i/>
          <w:sz w:val="24"/>
        </w:rPr>
        <w:t>Stolárske práce</w:t>
      </w:r>
      <w:r w:rsidRPr="00BC544B">
        <w:rPr>
          <w:rFonts w:ascii="Times New Roman" w:hAnsi="Times New Roman" w:cs="Times New Roman"/>
          <w:sz w:val="24"/>
        </w:rPr>
        <w:t xml:space="preserve"> - Mgr. Filip </w:t>
      </w:r>
      <w:proofErr w:type="spellStart"/>
      <w:r w:rsidRPr="00BC544B">
        <w:rPr>
          <w:rFonts w:ascii="Times New Roman" w:hAnsi="Times New Roman" w:cs="Times New Roman"/>
          <w:sz w:val="24"/>
        </w:rPr>
        <w:t>Hučka</w:t>
      </w:r>
      <w:proofErr w:type="spellEnd"/>
      <w:r w:rsidRPr="00BC544B">
        <w:rPr>
          <w:rFonts w:ascii="Times New Roman" w:hAnsi="Times New Roman" w:cs="Times New Roman"/>
          <w:sz w:val="24"/>
        </w:rPr>
        <w:t xml:space="preserve"> /výroba detských ihrísk/, Klena </w:t>
      </w:r>
      <w:proofErr w:type="spellStart"/>
      <w:r w:rsidRPr="00BC544B">
        <w:rPr>
          <w:rFonts w:ascii="Times New Roman" w:hAnsi="Times New Roman" w:cs="Times New Roman"/>
          <w:sz w:val="24"/>
        </w:rPr>
        <w:t>Jiří</w:t>
      </w:r>
      <w:proofErr w:type="spellEnd"/>
      <w:r w:rsidRPr="00BC544B">
        <w:rPr>
          <w:rFonts w:ascii="Times New Roman" w:hAnsi="Times New Roman" w:cs="Times New Roman"/>
          <w:sz w:val="24"/>
        </w:rPr>
        <w:t xml:space="preserve"> /výroba detských ihrísk/, Košťál </w:t>
      </w:r>
      <w:proofErr w:type="spellStart"/>
      <w:r w:rsidRPr="00BC544B">
        <w:rPr>
          <w:rFonts w:ascii="Times New Roman" w:hAnsi="Times New Roman" w:cs="Times New Roman"/>
          <w:sz w:val="24"/>
        </w:rPr>
        <w:t>Marian</w:t>
      </w:r>
      <w:proofErr w:type="spellEnd"/>
      <w:r w:rsidRPr="00BC544B">
        <w:rPr>
          <w:rFonts w:ascii="Times New Roman" w:hAnsi="Times New Roman" w:cs="Times New Roman"/>
          <w:sz w:val="24"/>
        </w:rPr>
        <w:t xml:space="preserve">, </w:t>
      </w:r>
      <w:proofErr w:type="spellStart"/>
      <w:r w:rsidRPr="00BC544B">
        <w:rPr>
          <w:rFonts w:ascii="Times New Roman" w:hAnsi="Times New Roman" w:cs="Times New Roman"/>
          <w:sz w:val="24"/>
        </w:rPr>
        <w:t>Zeleňák</w:t>
      </w:r>
      <w:proofErr w:type="spellEnd"/>
      <w:r w:rsidRPr="00BC544B">
        <w:rPr>
          <w:rFonts w:ascii="Times New Roman" w:hAnsi="Times New Roman" w:cs="Times New Roman"/>
          <w:sz w:val="24"/>
        </w:rPr>
        <w:t xml:space="preserve"> Jaroslav</w:t>
      </w:r>
    </w:p>
    <w:p w:rsidR="002B4C4B" w:rsidRPr="00E73279" w:rsidRDefault="002B4C4B" w:rsidP="00E73279">
      <w:pPr>
        <w:spacing w:line="240" w:lineRule="auto"/>
        <w:rPr>
          <w:rFonts w:ascii="Times New Roman" w:hAnsi="Times New Roman" w:cs="Times New Roman"/>
          <w:i/>
          <w:sz w:val="24"/>
        </w:rPr>
      </w:pPr>
    </w:p>
    <w:p w:rsidR="002B4C4B" w:rsidRPr="00E73279" w:rsidRDefault="002B4C4B" w:rsidP="00C119AA">
      <w:pPr>
        <w:pStyle w:val="Odsekzoznamu"/>
        <w:numPr>
          <w:ilvl w:val="2"/>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Administratívne kapacity obce</w:t>
      </w:r>
    </w:p>
    <w:p w:rsidR="002B4C4B" w:rsidRPr="00DE731F" w:rsidRDefault="00BC544B" w:rsidP="009B5102">
      <w:pPr>
        <w:spacing w:line="240" w:lineRule="auto"/>
        <w:jc w:val="both"/>
        <w:rPr>
          <w:rFonts w:ascii="Times New Roman" w:hAnsi="Times New Roman" w:cs="Times New Roman"/>
          <w:b/>
          <w:sz w:val="24"/>
          <w:szCs w:val="24"/>
        </w:rPr>
      </w:pPr>
      <w:r w:rsidRPr="009B5102">
        <w:rPr>
          <w:rFonts w:ascii="Times New Roman" w:hAnsi="Times New Roman" w:cs="Times New Roman"/>
          <w:i/>
          <w:color w:val="222222"/>
          <w:sz w:val="24"/>
          <w:szCs w:val="24"/>
          <w:shd w:val="clear" w:color="auto" w:fill="FFFFFF"/>
        </w:rPr>
        <w:t>Obecný úrad</w:t>
      </w:r>
      <w:r w:rsidR="009B5102">
        <w:rPr>
          <w:rFonts w:ascii="Times New Roman" w:hAnsi="Times New Roman" w:cs="Times New Roman"/>
          <w:color w:val="222222"/>
          <w:sz w:val="24"/>
          <w:szCs w:val="24"/>
          <w:shd w:val="clear" w:color="auto" w:fill="FFFFFF"/>
        </w:rPr>
        <w:t xml:space="preserve"> – </w:t>
      </w:r>
      <w:r w:rsidRPr="00DE731F">
        <w:rPr>
          <w:rFonts w:ascii="Times New Roman" w:hAnsi="Times New Roman" w:cs="Times New Roman"/>
          <w:color w:val="222222"/>
          <w:sz w:val="24"/>
          <w:szCs w:val="24"/>
          <w:shd w:val="clear" w:color="auto" w:fill="FFFFFF"/>
        </w:rPr>
        <w:t>počet</w:t>
      </w:r>
      <w:r w:rsidR="009B5102">
        <w:rPr>
          <w:rFonts w:ascii="Times New Roman" w:hAnsi="Times New Roman" w:cs="Times New Roman"/>
          <w:color w:val="222222"/>
          <w:sz w:val="24"/>
          <w:szCs w:val="24"/>
          <w:shd w:val="clear" w:color="auto" w:fill="FFFFFF"/>
        </w:rPr>
        <w:t xml:space="preserve"> zamestnancov</w:t>
      </w:r>
      <w:r w:rsidR="009B5102">
        <w:rPr>
          <w:rFonts w:ascii="Times New Roman" w:hAnsi="Times New Roman" w:cs="Times New Roman"/>
          <w:color w:val="222222"/>
          <w:sz w:val="24"/>
          <w:szCs w:val="24"/>
          <w:shd w:val="clear" w:color="auto" w:fill="FFFFFF"/>
        </w:rPr>
        <w:tab/>
      </w:r>
      <w:r w:rsidR="009B5102">
        <w:rPr>
          <w:rFonts w:ascii="Times New Roman" w:hAnsi="Times New Roman" w:cs="Times New Roman"/>
          <w:color w:val="222222"/>
          <w:sz w:val="24"/>
          <w:szCs w:val="24"/>
          <w:shd w:val="clear" w:color="auto" w:fill="FFFFFF"/>
        </w:rPr>
        <w:tab/>
      </w:r>
      <w:r w:rsidRPr="00DE731F">
        <w:rPr>
          <w:rFonts w:ascii="Times New Roman" w:hAnsi="Times New Roman" w:cs="Times New Roman"/>
          <w:color w:val="222222"/>
          <w:sz w:val="24"/>
          <w:szCs w:val="24"/>
          <w:shd w:val="clear" w:color="auto" w:fill="FFFFFF"/>
        </w:rPr>
        <w:t>5</w:t>
      </w:r>
    </w:p>
    <w:p w:rsidR="002B4C4B" w:rsidRPr="00E73279" w:rsidRDefault="002B4C4B" w:rsidP="00E73279">
      <w:pPr>
        <w:spacing w:line="240" w:lineRule="auto"/>
        <w:rPr>
          <w:rFonts w:ascii="Times New Roman" w:hAnsi="Times New Roman" w:cs="Times New Roman"/>
          <w:b/>
          <w:sz w:val="28"/>
        </w:rPr>
      </w:pPr>
    </w:p>
    <w:p w:rsidR="002B4C4B" w:rsidRPr="00E73279" w:rsidRDefault="002B4C4B" w:rsidP="00C119AA">
      <w:pPr>
        <w:pStyle w:val="Odsekzoznamu"/>
        <w:numPr>
          <w:ilvl w:val="2"/>
          <w:numId w:val="3"/>
        </w:numPr>
        <w:spacing w:line="240" w:lineRule="auto"/>
        <w:jc w:val="both"/>
        <w:rPr>
          <w:rFonts w:ascii="Times New Roman" w:hAnsi="Times New Roman" w:cs="Times New Roman"/>
          <w:b/>
          <w:sz w:val="28"/>
        </w:rPr>
      </w:pPr>
      <w:r w:rsidRPr="00E73279">
        <w:rPr>
          <w:rFonts w:ascii="Times New Roman" w:hAnsi="Times New Roman" w:cs="Times New Roman"/>
          <w:b/>
          <w:sz w:val="28"/>
        </w:rPr>
        <w:t>Sociálna infraštruktúra</w:t>
      </w: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Školská infraštruktúra</w:t>
      </w:r>
    </w:p>
    <w:p w:rsidR="008B7EEC" w:rsidRDefault="00C75FBC" w:rsidP="00BC544B">
      <w:pPr>
        <w:spacing w:line="240" w:lineRule="auto"/>
        <w:jc w:val="both"/>
        <w:rPr>
          <w:rFonts w:ascii="Times New Roman" w:hAnsi="Times New Roman" w:cs="Times New Roman"/>
          <w:sz w:val="24"/>
        </w:rPr>
      </w:pPr>
      <w:r>
        <w:rPr>
          <w:rFonts w:ascii="Times New Roman" w:hAnsi="Times New Roman" w:cs="Times New Roman"/>
          <w:sz w:val="24"/>
        </w:rPr>
        <w:t>Oblasť školského vzdelávania zabezpečuje v obci materská škola pri základnej škole Jatov s vyučovacím jazykom slovenským.</w:t>
      </w:r>
    </w:p>
    <w:p w:rsidR="008B7EEC" w:rsidRDefault="008B7EEC" w:rsidP="00BC544B">
      <w:pPr>
        <w:spacing w:line="240" w:lineRule="auto"/>
        <w:jc w:val="both"/>
        <w:rPr>
          <w:rFonts w:ascii="Times New Roman" w:hAnsi="Times New Roman" w:cs="Times New Roman"/>
          <w:sz w:val="24"/>
        </w:rPr>
      </w:pPr>
      <w:r w:rsidRPr="008B7EEC">
        <w:rPr>
          <w:rFonts w:ascii="Times New Roman" w:hAnsi="Times New Roman" w:cs="Times New Roman"/>
          <w:sz w:val="24"/>
        </w:rPr>
        <w:t xml:space="preserve">Materská škola bola v Jatove zriadená 5.9.1953. Umiestnená bola v kúrii, kde sa nachádzala jedna trieda, herňa, letná a zimná jedáleň, </w:t>
      </w:r>
      <w:proofErr w:type="spellStart"/>
      <w:r w:rsidRPr="008B7EEC">
        <w:rPr>
          <w:rFonts w:ascii="Times New Roman" w:hAnsi="Times New Roman" w:cs="Times New Roman"/>
          <w:sz w:val="24"/>
        </w:rPr>
        <w:t>obliekáreň</w:t>
      </w:r>
      <w:proofErr w:type="spellEnd"/>
      <w:r w:rsidRPr="008B7EEC">
        <w:rPr>
          <w:rFonts w:ascii="Times New Roman" w:hAnsi="Times New Roman" w:cs="Times New Roman"/>
          <w:sz w:val="24"/>
        </w:rPr>
        <w:t xml:space="preserve">, </w:t>
      </w:r>
      <w:proofErr w:type="spellStart"/>
      <w:r w:rsidRPr="008B7EEC">
        <w:rPr>
          <w:rFonts w:ascii="Times New Roman" w:hAnsi="Times New Roman" w:cs="Times New Roman"/>
          <w:sz w:val="24"/>
        </w:rPr>
        <w:t>umývareň</w:t>
      </w:r>
      <w:proofErr w:type="spellEnd"/>
      <w:r w:rsidRPr="008B7EEC">
        <w:rPr>
          <w:rFonts w:ascii="Times New Roman" w:hAnsi="Times New Roman" w:cs="Times New Roman"/>
          <w:sz w:val="24"/>
        </w:rPr>
        <w:t>, špajza a kuchyňa. O rok neskôr bola už zabezpečená celodenná starostlivosť o deti.</w:t>
      </w:r>
    </w:p>
    <w:p w:rsidR="008B7EEC" w:rsidRDefault="008B7EEC" w:rsidP="008B7EEC">
      <w:pPr>
        <w:spacing w:line="240" w:lineRule="auto"/>
        <w:jc w:val="both"/>
        <w:rPr>
          <w:rFonts w:ascii="Times New Roman" w:hAnsi="Times New Roman" w:cs="Times New Roman"/>
          <w:sz w:val="24"/>
        </w:rPr>
      </w:pPr>
      <w:r w:rsidRPr="008B7EEC">
        <w:rPr>
          <w:rFonts w:ascii="Times New Roman" w:hAnsi="Times New Roman" w:cs="Times New Roman"/>
          <w:sz w:val="24"/>
        </w:rPr>
        <w:t>Od 1.7.2002 vytvorila Základná škola s materskou školou Jatov spoločný právny subjekt. Zriaďovateľom je obec Jatov.</w:t>
      </w:r>
      <w:r>
        <w:rPr>
          <w:rFonts w:ascii="Times New Roman" w:hAnsi="Times New Roman" w:cs="Times New Roman"/>
          <w:sz w:val="24"/>
        </w:rPr>
        <w:t xml:space="preserve"> </w:t>
      </w:r>
      <w:r w:rsidR="00477ED0">
        <w:rPr>
          <w:rFonts w:ascii="Times New Roman" w:hAnsi="Times New Roman" w:cs="Times New Roman"/>
          <w:sz w:val="24"/>
        </w:rPr>
        <w:t xml:space="preserve">Základná škola poskytuje základné vzdelanie prvého stupňa pre 1.-4. triedu. </w:t>
      </w:r>
    </w:p>
    <w:p w:rsidR="008B7EEC" w:rsidRPr="008B7EEC" w:rsidRDefault="008B7EEC" w:rsidP="008B7EEC">
      <w:pPr>
        <w:spacing w:line="240" w:lineRule="auto"/>
        <w:jc w:val="both"/>
        <w:rPr>
          <w:rFonts w:ascii="Times New Roman" w:hAnsi="Times New Roman" w:cs="Times New Roman"/>
          <w:i/>
          <w:sz w:val="24"/>
        </w:rPr>
      </w:pPr>
      <w:r>
        <w:rPr>
          <w:rFonts w:ascii="Times New Roman" w:hAnsi="Times New Roman" w:cs="Times New Roman"/>
          <w:i/>
          <w:sz w:val="24"/>
        </w:rPr>
        <w:t>Personálne zabezpečenie:</w:t>
      </w:r>
    </w:p>
    <w:p w:rsidR="008B7EEC" w:rsidRPr="008B7EEC" w:rsidRDefault="008B7EEC" w:rsidP="008B7EEC">
      <w:pPr>
        <w:spacing w:line="240" w:lineRule="auto"/>
        <w:jc w:val="both"/>
        <w:rPr>
          <w:rFonts w:ascii="Times New Roman" w:hAnsi="Times New Roman" w:cs="Times New Roman"/>
          <w:sz w:val="24"/>
        </w:rPr>
      </w:pPr>
      <w:r w:rsidRPr="008B7EEC">
        <w:rPr>
          <w:rFonts w:ascii="Times New Roman" w:hAnsi="Times New Roman" w:cs="Times New Roman"/>
          <w:sz w:val="24"/>
        </w:rPr>
        <w:t>Mgr. Silvia Antalová</w:t>
      </w:r>
      <w:r w:rsidRPr="008B7EEC">
        <w:rPr>
          <w:rFonts w:ascii="Times New Roman" w:hAnsi="Times New Roman" w:cs="Times New Roman"/>
          <w:sz w:val="24"/>
        </w:rPr>
        <w:tab/>
      </w:r>
      <w:r>
        <w:rPr>
          <w:rFonts w:ascii="Times New Roman" w:hAnsi="Times New Roman" w:cs="Times New Roman"/>
          <w:sz w:val="24"/>
        </w:rPr>
        <w:tab/>
      </w:r>
      <w:r w:rsidRPr="008B7EEC">
        <w:rPr>
          <w:rFonts w:ascii="Times New Roman" w:hAnsi="Times New Roman" w:cs="Times New Roman"/>
          <w:sz w:val="24"/>
        </w:rPr>
        <w:tab/>
      </w:r>
      <w:r>
        <w:rPr>
          <w:rFonts w:ascii="Times New Roman" w:hAnsi="Times New Roman" w:cs="Times New Roman"/>
          <w:sz w:val="24"/>
        </w:rPr>
        <w:tab/>
      </w:r>
      <w:r w:rsidRPr="008B7EEC">
        <w:rPr>
          <w:rFonts w:ascii="Times New Roman" w:hAnsi="Times New Roman" w:cs="Times New Roman"/>
          <w:sz w:val="24"/>
        </w:rPr>
        <w:t>Riaditeľka</w:t>
      </w:r>
    </w:p>
    <w:p w:rsidR="008B7EEC" w:rsidRPr="008B7EEC" w:rsidRDefault="008B7EEC" w:rsidP="008B7EEC">
      <w:pPr>
        <w:spacing w:line="240" w:lineRule="auto"/>
        <w:ind w:left="3540" w:firstLine="708"/>
        <w:jc w:val="both"/>
        <w:rPr>
          <w:rFonts w:ascii="Times New Roman" w:hAnsi="Times New Roman" w:cs="Times New Roman"/>
          <w:sz w:val="24"/>
        </w:rPr>
      </w:pPr>
      <w:r w:rsidRPr="008B7EEC">
        <w:rPr>
          <w:rFonts w:ascii="Times New Roman" w:hAnsi="Times New Roman" w:cs="Times New Roman"/>
          <w:sz w:val="24"/>
        </w:rPr>
        <w:t>Triedna učiteľka: I.A</w:t>
      </w:r>
    </w:p>
    <w:p w:rsidR="008B7EEC" w:rsidRPr="008B7EEC" w:rsidRDefault="008B7EEC" w:rsidP="008B7EEC">
      <w:pPr>
        <w:spacing w:line="240" w:lineRule="auto"/>
        <w:ind w:left="3540" w:firstLine="708"/>
        <w:jc w:val="both"/>
        <w:rPr>
          <w:rFonts w:ascii="Times New Roman" w:hAnsi="Times New Roman" w:cs="Times New Roman"/>
          <w:sz w:val="24"/>
        </w:rPr>
      </w:pPr>
      <w:r w:rsidRPr="008B7EEC">
        <w:rPr>
          <w:rFonts w:ascii="Times New Roman" w:hAnsi="Times New Roman" w:cs="Times New Roman"/>
          <w:sz w:val="24"/>
        </w:rPr>
        <w:t>Triedna učiteľka: III.A</w:t>
      </w:r>
    </w:p>
    <w:p w:rsidR="008B7EEC" w:rsidRPr="008B7EEC" w:rsidRDefault="008B7EEC" w:rsidP="008B7EEC">
      <w:pPr>
        <w:spacing w:line="240" w:lineRule="auto"/>
        <w:jc w:val="both"/>
        <w:rPr>
          <w:rFonts w:ascii="Times New Roman" w:hAnsi="Times New Roman" w:cs="Times New Roman"/>
          <w:sz w:val="24"/>
        </w:rPr>
      </w:pPr>
      <w:proofErr w:type="spellStart"/>
      <w:r w:rsidRPr="008B7EEC">
        <w:rPr>
          <w:rFonts w:ascii="Times New Roman" w:hAnsi="Times New Roman" w:cs="Times New Roman"/>
          <w:sz w:val="24"/>
        </w:rPr>
        <w:t>Bc.Ingrid</w:t>
      </w:r>
      <w:proofErr w:type="spellEnd"/>
      <w:r w:rsidRPr="008B7EEC">
        <w:rPr>
          <w:rFonts w:ascii="Times New Roman" w:hAnsi="Times New Roman" w:cs="Times New Roman"/>
          <w:sz w:val="24"/>
        </w:rPr>
        <w:t xml:space="preserve"> </w:t>
      </w:r>
      <w:proofErr w:type="spellStart"/>
      <w:r w:rsidRPr="008B7EEC">
        <w:rPr>
          <w:rFonts w:ascii="Times New Roman" w:hAnsi="Times New Roman" w:cs="Times New Roman"/>
          <w:sz w:val="24"/>
        </w:rPr>
        <w:t>Boriová</w:t>
      </w:r>
      <w:proofErr w:type="spellEnd"/>
      <w:r w:rsidRPr="008B7E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B7EEC">
        <w:rPr>
          <w:rFonts w:ascii="Times New Roman" w:hAnsi="Times New Roman" w:cs="Times New Roman"/>
          <w:sz w:val="24"/>
        </w:rPr>
        <w:tab/>
        <w:t>Vychovávateľka</w:t>
      </w:r>
    </w:p>
    <w:p w:rsidR="008B7EEC" w:rsidRPr="008B7EEC" w:rsidRDefault="008B7EEC" w:rsidP="008B7EEC">
      <w:pPr>
        <w:spacing w:line="240" w:lineRule="auto"/>
        <w:ind w:left="3540" w:firstLine="708"/>
        <w:jc w:val="both"/>
        <w:rPr>
          <w:rFonts w:ascii="Times New Roman" w:hAnsi="Times New Roman" w:cs="Times New Roman"/>
          <w:sz w:val="24"/>
        </w:rPr>
      </w:pPr>
      <w:r w:rsidRPr="008B7EEC">
        <w:rPr>
          <w:rFonts w:ascii="Times New Roman" w:hAnsi="Times New Roman" w:cs="Times New Roman"/>
          <w:sz w:val="24"/>
        </w:rPr>
        <w:t>Vedie krúžok: Pohybový krúžok</w:t>
      </w:r>
    </w:p>
    <w:p w:rsidR="008B7EEC" w:rsidRPr="008B7EEC" w:rsidRDefault="008B7EEC" w:rsidP="008B7EEC">
      <w:pPr>
        <w:spacing w:line="240" w:lineRule="auto"/>
        <w:ind w:left="3540" w:firstLine="708"/>
        <w:jc w:val="both"/>
        <w:rPr>
          <w:rFonts w:ascii="Times New Roman" w:hAnsi="Times New Roman" w:cs="Times New Roman"/>
          <w:sz w:val="24"/>
        </w:rPr>
      </w:pPr>
      <w:r w:rsidRPr="008B7EEC">
        <w:rPr>
          <w:rFonts w:ascii="Times New Roman" w:hAnsi="Times New Roman" w:cs="Times New Roman"/>
          <w:sz w:val="24"/>
        </w:rPr>
        <w:t>Vedie krúžok: Školský klub detí</w:t>
      </w:r>
    </w:p>
    <w:p w:rsidR="008B7EEC" w:rsidRPr="008B7EEC" w:rsidRDefault="008B7EEC" w:rsidP="008B7EEC">
      <w:pPr>
        <w:spacing w:line="240" w:lineRule="auto"/>
        <w:jc w:val="both"/>
        <w:rPr>
          <w:rFonts w:ascii="Times New Roman" w:hAnsi="Times New Roman" w:cs="Times New Roman"/>
          <w:sz w:val="24"/>
        </w:rPr>
      </w:pPr>
      <w:r>
        <w:rPr>
          <w:rFonts w:ascii="Times New Roman" w:hAnsi="Times New Roman" w:cs="Times New Roman"/>
          <w:sz w:val="24"/>
        </w:rPr>
        <w:lastRenderedPageBreak/>
        <w:t>M</w:t>
      </w:r>
      <w:r w:rsidRPr="008B7EEC">
        <w:rPr>
          <w:rFonts w:ascii="Times New Roman" w:hAnsi="Times New Roman" w:cs="Times New Roman"/>
          <w:sz w:val="24"/>
        </w:rPr>
        <w:t>gr. Eva Kissová</w:t>
      </w:r>
      <w:r w:rsidRPr="008B7EEC">
        <w:rPr>
          <w:rFonts w:ascii="Times New Roman" w:hAnsi="Times New Roman" w:cs="Times New Roman"/>
          <w:sz w:val="24"/>
        </w:rPr>
        <w:tab/>
      </w:r>
      <w:r>
        <w:rPr>
          <w:rFonts w:ascii="Times New Roman" w:hAnsi="Times New Roman" w:cs="Times New Roman"/>
          <w:sz w:val="24"/>
        </w:rPr>
        <w:tab/>
      </w:r>
      <w:r w:rsidRPr="008B7EEC">
        <w:rPr>
          <w:rFonts w:ascii="Times New Roman" w:hAnsi="Times New Roman" w:cs="Times New Roman"/>
          <w:sz w:val="24"/>
        </w:rPr>
        <w:tab/>
      </w:r>
      <w:r>
        <w:rPr>
          <w:rFonts w:ascii="Times New Roman" w:hAnsi="Times New Roman" w:cs="Times New Roman"/>
          <w:sz w:val="24"/>
        </w:rPr>
        <w:tab/>
      </w:r>
      <w:r w:rsidRPr="008B7EEC">
        <w:rPr>
          <w:rFonts w:ascii="Times New Roman" w:hAnsi="Times New Roman" w:cs="Times New Roman"/>
          <w:sz w:val="24"/>
        </w:rPr>
        <w:t>Triedna učiteľka: II.A</w:t>
      </w:r>
    </w:p>
    <w:p w:rsidR="008B7EEC" w:rsidRPr="008B7EEC" w:rsidRDefault="008B7EEC" w:rsidP="008B7EEC">
      <w:pPr>
        <w:spacing w:line="240" w:lineRule="auto"/>
        <w:ind w:left="3540" w:firstLine="708"/>
        <w:jc w:val="both"/>
        <w:rPr>
          <w:rFonts w:ascii="Times New Roman" w:hAnsi="Times New Roman" w:cs="Times New Roman"/>
          <w:sz w:val="24"/>
        </w:rPr>
      </w:pPr>
      <w:r w:rsidRPr="008B7EEC">
        <w:rPr>
          <w:rFonts w:ascii="Times New Roman" w:hAnsi="Times New Roman" w:cs="Times New Roman"/>
          <w:sz w:val="24"/>
        </w:rPr>
        <w:t>Triedna učiteľka: IV.A</w:t>
      </w:r>
    </w:p>
    <w:p w:rsidR="008B7EEC" w:rsidRPr="008B7EEC" w:rsidRDefault="008B7EEC" w:rsidP="008B7EEC">
      <w:pPr>
        <w:spacing w:line="240" w:lineRule="auto"/>
        <w:ind w:left="3540" w:firstLine="708"/>
        <w:jc w:val="both"/>
        <w:rPr>
          <w:rFonts w:ascii="Times New Roman" w:hAnsi="Times New Roman" w:cs="Times New Roman"/>
          <w:sz w:val="24"/>
        </w:rPr>
      </w:pPr>
      <w:r w:rsidRPr="008B7EEC">
        <w:rPr>
          <w:rFonts w:ascii="Times New Roman" w:hAnsi="Times New Roman" w:cs="Times New Roman"/>
          <w:sz w:val="24"/>
        </w:rPr>
        <w:t>Vedie krúžok: Krúžok anglického jazyka</w:t>
      </w:r>
    </w:p>
    <w:p w:rsidR="008B7EEC" w:rsidRDefault="008B7EEC" w:rsidP="008B7EEC">
      <w:pPr>
        <w:spacing w:line="240" w:lineRule="auto"/>
        <w:jc w:val="both"/>
        <w:rPr>
          <w:rFonts w:ascii="Times New Roman" w:hAnsi="Times New Roman" w:cs="Times New Roman"/>
          <w:sz w:val="24"/>
        </w:rPr>
      </w:pPr>
      <w:r w:rsidRPr="008B7EEC">
        <w:rPr>
          <w:rFonts w:ascii="Times New Roman" w:hAnsi="Times New Roman" w:cs="Times New Roman"/>
          <w:sz w:val="24"/>
        </w:rPr>
        <w:t>Mgr. Peter Kováč</w:t>
      </w:r>
      <w:r w:rsidRPr="008B7EEC">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B7EEC">
        <w:rPr>
          <w:rFonts w:ascii="Times New Roman" w:hAnsi="Times New Roman" w:cs="Times New Roman"/>
          <w:sz w:val="24"/>
        </w:rPr>
        <w:t>Učiteľ</w:t>
      </w:r>
    </w:p>
    <w:p w:rsidR="008B7EEC" w:rsidRPr="008B7EEC" w:rsidRDefault="008B7EEC" w:rsidP="00BC544B">
      <w:pPr>
        <w:spacing w:line="240" w:lineRule="auto"/>
        <w:jc w:val="both"/>
        <w:rPr>
          <w:rFonts w:ascii="Times New Roman" w:hAnsi="Times New Roman" w:cs="Times New Roman"/>
          <w:i/>
          <w:sz w:val="24"/>
        </w:rPr>
      </w:pPr>
      <w:r>
        <w:rPr>
          <w:rFonts w:ascii="Times New Roman" w:hAnsi="Times New Roman" w:cs="Times New Roman"/>
          <w:i/>
          <w:sz w:val="24"/>
        </w:rPr>
        <w:t>S</w:t>
      </w:r>
      <w:r w:rsidRPr="008B7EEC">
        <w:rPr>
          <w:rFonts w:ascii="Times New Roman" w:hAnsi="Times New Roman" w:cs="Times New Roman"/>
          <w:i/>
          <w:sz w:val="24"/>
        </w:rPr>
        <w:t>úťaže</w:t>
      </w:r>
    </w:p>
    <w:p w:rsidR="008B7EEC" w:rsidRDefault="008B7EEC" w:rsidP="00BC544B">
      <w:pPr>
        <w:spacing w:line="240" w:lineRule="auto"/>
        <w:jc w:val="both"/>
        <w:rPr>
          <w:rFonts w:ascii="Times New Roman" w:hAnsi="Times New Roman" w:cs="Times New Roman"/>
          <w:sz w:val="24"/>
        </w:rPr>
      </w:pPr>
      <w:r w:rsidRPr="008B7EEC">
        <w:rPr>
          <w:rFonts w:ascii="Times New Roman" w:hAnsi="Times New Roman" w:cs="Times New Roman"/>
          <w:sz w:val="24"/>
        </w:rPr>
        <w:t>Talentované deti sa zúčastňujú okresných recitačných súťaží, výtvarných súťaží i matematických súťaží. V spolupráci s obecným úradom sa organizujú rôzne podujatia, na ktorých žiaci ZŠ s MŠ predvádzajú svoj talent.</w:t>
      </w:r>
    </w:p>
    <w:p w:rsidR="008B7EEC" w:rsidRPr="008B7EEC" w:rsidRDefault="008B7EEC" w:rsidP="00BC544B">
      <w:pPr>
        <w:spacing w:line="240" w:lineRule="auto"/>
        <w:jc w:val="both"/>
        <w:rPr>
          <w:rFonts w:ascii="Times New Roman" w:hAnsi="Times New Roman" w:cs="Times New Roman"/>
          <w:i/>
          <w:sz w:val="24"/>
        </w:rPr>
      </w:pPr>
      <w:r>
        <w:rPr>
          <w:rFonts w:ascii="Times New Roman" w:hAnsi="Times New Roman" w:cs="Times New Roman"/>
          <w:i/>
          <w:sz w:val="24"/>
        </w:rPr>
        <w:t>Krúžky</w:t>
      </w:r>
    </w:p>
    <w:p w:rsidR="008B7EEC" w:rsidRPr="008B7EEC" w:rsidRDefault="008B7EEC" w:rsidP="00C119AA">
      <w:pPr>
        <w:pStyle w:val="Odsekzoznamu"/>
        <w:numPr>
          <w:ilvl w:val="0"/>
          <w:numId w:val="7"/>
        </w:numPr>
        <w:spacing w:line="240" w:lineRule="auto"/>
        <w:jc w:val="both"/>
        <w:rPr>
          <w:rFonts w:ascii="Times New Roman" w:hAnsi="Times New Roman" w:cs="Times New Roman"/>
          <w:sz w:val="24"/>
        </w:rPr>
      </w:pPr>
      <w:r w:rsidRPr="008B7EEC">
        <w:rPr>
          <w:rFonts w:ascii="Times New Roman" w:hAnsi="Times New Roman" w:cs="Times New Roman"/>
          <w:sz w:val="24"/>
        </w:rPr>
        <w:t>Krúžok anglického jazyka</w:t>
      </w:r>
    </w:p>
    <w:p w:rsidR="008B7EEC" w:rsidRPr="008B7EEC" w:rsidRDefault="008B7EEC" w:rsidP="00C119AA">
      <w:pPr>
        <w:pStyle w:val="Odsekzoznamu"/>
        <w:numPr>
          <w:ilvl w:val="0"/>
          <w:numId w:val="7"/>
        </w:numPr>
        <w:spacing w:line="240" w:lineRule="auto"/>
        <w:jc w:val="both"/>
        <w:rPr>
          <w:rFonts w:ascii="Times New Roman" w:hAnsi="Times New Roman" w:cs="Times New Roman"/>
          <w:sz w:val="24"/>
        </w:rPr>
      </w:pPr>
      <w:r w:rsidRPr="008B7EEC">
        <w:rPr>
          <w:rFonts w:ascii="Times New Roman" w:hAnsi="Times New Roman" w:cs="Times New Roman"/>
          <w:sz w:val="24"/>
        </w:rPr>
        <w:t>Pohybový krúžok</w:t>
      </w:r>
    </w:p>
    <w:p w:rsidR="008B7EEC" w:rsidRPr="008B7EEC" w:rsidRDefault="008B7EEC" w:rsidP="00C119AA">
      <w:pPr>
        <w:pStyle w:val="Odsekzoznamu"/>
        <w:numPr>
          <w:ilvl w:val="0"/>
          <w:numId w:val="7"/>
        </w:numPr>
        <w:spacing w:line="240" w:lineRule="auto"/>
        <w:jc w:val="both"/>
        <w:rPr>
          <w:rFonts w:ascii="Times New Roman" w:hAnsi="Times New Roman" w:cs="Times New Roman"/>
          <w:sz w:val="24"/>
        </w:rPr>
      </w:pPr>
      <w:r w:rsidRPr="008B7EEC">
        <w:rPr>
          <w:rFonts w:ascii="Times New Roman" w:hAnsi="Times New Roman" w:cs="Times New Roman"/>
          <w:sz w:val="24"/>
        </w:rPr>
        <w:t>Školský klub detí</w:t>
      </w:r>
    </w:p>
    <w:p w:rsidR="008B7EEC" w:rsidRPr="00BC544B" w:rsidRDefault="008B7EEC" w:rsidP="00BC544B">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Zdravotnícka infraštruktúra</w:t>
      </w:r>
    </w:p>
    <w:p w:rsidR="00477ED0" w:rsidRDefault="00477ED0" w:rsidP="00477ED0">
      <w:pPr>
        <w:spacing w:line="240" w:lineRule="auto"/>
        <w:jc w:val="both"/>
        <w:rPr>
          <w:rFonts w:ascii="Times New Roman" w:hAnsi="Times New Roman" w:cs="Times New Roman"/>
          <w:sz w:val="24"/>
        </w:rPr>
      </w:pPr>
      <w:r>
        <w:rPr>
          <w:rFonts w:ascii="Times New Roman" w:hAnsi="Times New Roman" w:cs="Times New Roman"/>
          <w:sz w:val="24"/>
        </w:rPr>
        <w:t>V obci sa nenachádzajú žiadne inštitúcie poskytujúce akúkoľvek zdravotnícku starostlivosť.</w:t>
      </w:r>
    </w:p>
    <w:p w:rsidR="00477ED0" w:rsidRPr="00477ED0" w:rsidRDefault="00477ED0" w:rsidP="00477ED0">
      <w:pPr>
        <w:spacing w:line="240" w:lineRule="auto"/>
        <w:jc w:val="both"/>
        <w:rPr>
          <w:rFonts w:ascii="Times New Roman" w:hAnsi="Times New Roman" w:cs="Times New Roman"/>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Sociálna infraštruktúra</w:t>
      </w:r>
    </w:p>
    <w:p w:rsidR="00530BB8" w:rsidRPr="00530BB8" w:rsidRDefault="00530BB8" w:rsidP="00530BB8">
      <w:pPr>
        <w:spacing w:line="240" w:lineRule="auto"/>
        <w:jc w:val="both"/>
        <w:rPr>
          <w:rFonts w:ascii="Times New Roman" w:hAnsi="Times New Roman" w:cs="Times New Roman"/>
          <w:sz w:val="24"/>
        </w:rPr>
      </w:pPr>
      <w:r w:rsidRPr="00530BB8">
        <w:rPr>
          <w:rFonts w:ascii="Times New Roman" w:hAnsi="Times New Roman" w:cs="Times New Roman"/>
          <w:sz w:val="24"/>
        </w:rPr>
        <w:t xml:space="preserve">V obci </w:t>
      </w:r>
      <w:r w:rsidR="00477ED0">
        <w:rPr>
          <w:rFonts w:ascii="Times New Roman" w:hAnsi="Times New Roman" w:cs="Times New Roman"/>
          <w:sz w:val="24"/>
        </w:rPr>
        <w:t>sa nenachádzajú žiadne inštitúcie poskytujúce akékoľvek sociálne služby. V rámci komunitného centra je zabezpečený miestny dobrovoľný pracovník, ktorý zabezpečuje nákup pre starších obyvateľov, ako sú základné potraviny a základné veci osobnej spotreby.</w:t>
      </w:r>
    </w:p>
    <w:p w:rsidR="00530BB8" w:rsidRPr="00530BB8" w:rsidRDefault="00530BB8" w:rsidP="00530BB8">
      <w:pPr>
        <w:spacing w:line="240" w:lineRule="auto"/>
        <w:jc w:val="both"/>
        <w:rPr>
          <w:rFonts w:ascii="Times New Roman" w:hAnsi="Times New Roman" w:cs="Times New Roman"/>
          <w:b/>
          <w:i/>
          <w:sz w:val="24"/>
        </w:rPr>
      </w:pPr>
    </w:p>
    <w:p w:rsidR="002B4C4B"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Kultúrna infraštruktúra</w:t>
      </w:r>
    </w:p>
    <w:p w:rsidR="007261E1" w:rsidRDefault="007261E1" w:rsidP="007261E1">
      <w:pPr>
        <w:spacing w:line="240" w:lineRule="auto"/>
        <w:jc w:val="both"/>
        <w:rPr>
          <w:rFonts w:ascii="Times New Roman" w:hAnsi="Times New Roman" w:cs="Times New Roman"/>
          <w:sz w:val="24"/>
        </w:rPr>
      </w:pPr>
      <w:r w:rsidRPr="007261E1">
        <w:rPr>
          <w:rFonts w:ascii="Times New Roman" w:hAnsi="Times New Roman" w:cs="Times New Roman"/>
          <w:sz w:val="24"/>
        </w:rPr>
        <w:t>V obci sa nachádzajú rôzne kultúrne a historické zariadenia:</w:t>
      </w:r>
    </w:p>
    <w:p w:rsidR="007261E1" w:rsidRDefault="007261E1" w:rsidP="007261E1">
      <w:pPr>
        <w:pStyle w:val="Odsekzoznamu"/>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Kultúrny dom</w:t>
      </w:r>
    </w:p>
    <w:p w:rsidR="007261E1" w:rsidRDefault="007261E1" w:rsidP="007261E1">
      <w:pPr>
        <w:pStyle w:val="Odsekzoznamu"/>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Kostol sv. Vendelína</w:t>
      </w:r>
    </w:p>
    <w:p w:rsidR="007261E1" w:rsidRDefault="007261E1" w:rsidP="007261E1">
      <w:pPr>
        <w:pStyle w:val="Odsekzoznamu"/>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Obecná knižnica</w:t>
      </w:r>
    </w:p>
    <w:p w:rsidR="00350171" w:rsidRDefault="00350171" w:rsidP="007261E1">
      <w:pPr>
        <w:pStyle w:val="Odsekzoznamu"/>
        <w:numPr>
          <w:ilvl w:val="0"/>
          <w:numId w:val="14"/>
        </w:numPr>
        <w:spacing w:line="240" w:lineRule="auto"/>
        <w:jc w:val="both"/>
        <w:rPr>
          <w:rFonts w:ascii="Times New Roman" w:hAnsi="Times New Roman" w:cs="Times New Roman"/>
          <w:sz w:val="24"/>
        </w:rPr>
      </w:pPr>
      <w:r>
        <w:rPr>
          <w:rFonts w:ascii="Times New Roman" w:hAnsi="Times New Roman" w:cs="Times New Roman"/>
          <w:sz w:val="24"/>
        </w:rPr>
        <w:t>Pohrebná kaplnka</w:t>
      </w:r>
    </w:p>
    <w:p w:rsidR="007261E1" w:rsidRPr="007261E1" w:rsidRDefault="00350171" w:rsidP="007261E1">
      <w:pPr>
        <w:spacing w:line="240" w:lineRule="auto"/>
        <w:jc w:val="both"/>
        <w:rPr>
          <w:rFonts w:ascii="Times New Roman" w:hAnsi="Times New Roman" w:cs="Times New Roman"/>
          <w:sz w:val="24"/>
        </w:rPr>
      </w:pPr>
      <w:r>
        <w:rPr>
          <w:rFonts w:ascii="Times New Roman" w:hAnsi="Times New Roman" w:cs="Times New Roman"/>
          <w:sz w:val="24"/>
          <w:szCs w:val="24"/>
        </w:rPr>
        <w:t>V rámci kultúrnych pamiatok s náboženským podtextom sa na území obce nachádza najstaršia pamiatka obce, ktorou je pohrebná kaplnka zapísaná v súpise národných dejín kultúrnych pamiatok Slovenska.</w:t>
      </w:r>
    </w:p>
    <w:p w:rsidR="00D2061A" w:rsidRPr="00D2061A" w:rsidRDefault="00D2061A" w:rsidP="00D2061A">
      <w:pPr>
        <w:spacing w:line="240" w:lineRule="auto"/>
        <w:jc w:val="both"/>
        <w:rPr>
          <w:rFonts w:ascii="Times New Roman" w:hAnsi="Times New Roman" w:cs="Times New Roman"/>
          <w:b/>
          <w:i/>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Priestory občianskej vybavenosti</w:t>
      </w:r>
    </w:p>
    <w:p w:rsidR="007261E1" w:rsidRPr="00B72140" w:rsidRDefault="007261E1" w:rsidP="007261E1">
      <w:pPr>
        <w:spacing w:line="240" w:lineRule="auto"/>
        <w:jc w:val="both"/>
        <w:rPr>
          <w:rFonts w:ascii="Times New Roman" w:hAnsi="Times New Roman" w:cs="Times New Roman"/>
          <w:i/>
          <w:sz w:val="24"/>
        </w:rPr>
      </w:pPr>
      <w:r w:rsidRPr="00B72140">
        <w:rPr>
          <w:rFonts w:ascii="Times New Roman" w:hAnsi="Times New Roman" w:cs="Times New Roman"/>
          <w:i/>
          <w:sz w:val="24"/>
        </w:rPr>
        <w:t>Bankové a iné finančné služby</w:t>
      </w:r>
    </w:p>
    <w:p w:rsidR="007261E1" w:rsidRPr="00350530" w:rsidRDefault="007261E1" w:rsidP="007261E1">
      <w:pPr>
        <w:spacing w:line="240" w:lineRule="auto"/>
        <w:jc w:val="both"/>
        <w:rPr>
          <w:rFonts w:ascii="Times New Roman" w:hAnsi="Times New Roman" w:cs="Times New Roman"/>
          <w:sz w:val="24"/>
        </w:rPr>
      </w:pPr>
      <w:r w:rsidRPr="00350530">
        <w:rPr>
          <w:rFonts w:ascii="Times New Roman" w:hAnsi="Times New Roman" w:cs="Times New Roman"/>
          <w:sz w:val="24"/>
        </w:rPr>
        <w:t xml:space="preserve">V obci sa </w:t>
      </w:r>
      <w:r>
        <w:rPr>
          <w:rFonts w:ascii="Times New Roman" w:hAnsi="Times New Roman" w:cs="Times New Roman"/>
          <w:sz w:val="24"/>
        </w:rPr>
        <w:t>nenachádzajú žiadne bankové ani finančné služby.</w:t>
      </w:r>
    </w:p>
    <w:p w:rsidR="007261E1" w:rsidRPr="00B72140" w:rsidRDefault="007261E1" w:rsidP="007261E1">
      <w:pPr>
        <w:spacing w:line="240" w:lineRule="auto"/>
        <w:jc w:val="both"/>
        <w:rPr>
          <w:rFonts w:ascii="Times New Roman" w:hAnsi="Times New Roman" w:cs="Times New Roman"/>
          <w:sz w:val="24"/>
        </w:rPr>
      </w:pPr>
      <w:r w:rsidRPr="00B72140">
        <w:rPr>
          <w:rFonts w:ascii="Times New Roman" w:hAnsi="Times New Roman" w:cs="Times New Roman"/>
          <w:sz w:val="24"/>
        </w:rPr>
        <w:lastRenderedPageBreak/>
        <w:t>V okolitých mestách</w:t>
      </w:r>
      <w:r>
        <w:rPr>
          <w:rFonts w:ascii="Times New Roman" w:hAnsi="Times New Roman" w:cs="Times New Roman"/>
          <w:sz w:val="24"/>
        </w:rPr>
        <w:t>:</w:t>
      </w:r>
    </w:p>
    <w:p w:rsidR="007261E1" w:rsidRPr="00B72140" w:rsidRDefault="007261E1" w:rsidP="007261E1">
      <w:pPr>
        <w:pStyle w:val="Odsekzoznamu"/>
        <w:numPr>
          <w:ilvl w:val="0"/>
          <w:numId w:val="13"/>
        </w:numPr>
        <w:spacing w:line="240" w:lineRule="auto"/>
        <w:jc w:val="both"/>
        <w:rPr>
          <w:rFonts w:ascii="Times New Roman" w:hAnsi="Times New Roman" w:cs="Times New Roman"/>
          <w:sz w:val="24"/>
        </w:rPr>
      </w:pPr>
      <w:r w:rsidRPr="00B72140">
        <w:rPr>
          <w:rFonts w:ascii="Times New Roman" w:hAnsi="Times New Roman" w:cs="Times New Roman"/>
          <w:sz w:val="24"/>
        </w:rPr>
        <w:t>Šurany: SLSP, VUB, poštová banka, PRIMA banka, Poisťovňa Kooperativa, atď.</w:t>
      </w:r>
    </w:p>
    <w:p w:rsidR="002B4C4B" w:rsidRPr="007261E1" w:rsidRDefault="007261E1" w:rsidP="00E73279">
      <w:pPr>
        <w:pStyle w:val="Odsekzoznamu"/>
        <w:numPr>
          <w:ilvl w:val="0"/>
          <w:numId w:val="13"/>
        </w:numPr>
        <w:spacing w:line="240" w:lineRule="auto"/>
        <w:jc w:val="both"/>
        <w:rPr>
          <w:rFonts w:ascii="Times New Roman" w:hAnsi="Times New Roman" w:cs="Times New Roman"/>
          <w:b/>
          <w:i/>
          <w:sz w:val="24"/>
        </w:rPr>
      </w:pPr>
      <w:r w:rsidRPr="007261E1">
        <w:rPr>
          <w:rFonts w:ascii="Times New Roman" w:hAnsi="Times New Roman" w:cs="Times New Roman"/>
          <w:sz w:val="24"/>
        </w:rPr>
        <w:t>Nové Zámky a Nitra: SLSP, VUB, PRIMA banka, OTB, Tatra banka, Poisťovňa ALLIANZ, Kooperativa</w:t>
      </w:r>
    </w:p>
    <w:p w:rsidR="00350171" w:rsidRDefault="00350171" w:rsidP="00350171">
      <w:pPr>
        <w:spacing w:line="240" w:lineRule="auto"/>
        <w:jc w:val="both"/>
        <w:rPr>
          <w:rFonts w:ascii="Times New Roman" w:hAnsi="Times New Roman" w:cs="Times New Roman"/>
          <w:sz w:val="24"/>
          <w:szCs w:val="24"/>
        </w:rPr>
      </w:pPr>
      <w:r>
        <w:rPr>
          <w:rFonts w:ascii="Times New Roman" w:hAnsi="Times New Roman" w:cs="Times New Roman"/>
          <w:sz w:val="24"/>
          <w:szCs w:val="24"/>
        </w:rPr>
        <w:t>Zariadenia kultúrnej, spoločenskej a športovej infraštruktúry:</w:t>
      </w:r>
    </w:p>
    <w:p w:rsidR="00350171" w:rsidRDefault="00350171" w:rsidP="00350171">
      <w:pPr>
        <w:pStyle w:val="Odsekzoznamu"/>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Kultúrny dom – postavený v roku 1978 – stav vyhovujúci, ale potrebná rekonštrukcia, kapacita 250-300 osôb</w:t>
      </w:r>
    </w:p>
    <w:p w:rsidR="00350171" w:rsidRDefault="00350171" w:rsidP="00350171">
      <w:pPr>
        <w:pStyle w:val="Odsekzoznamu"/>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Knižnica – založená v roku 1959, momentálne sa nachádza v kultúrnom dome</w:t>
      </w:r>
    </w:p>
    <w:p w:rsidR="00350171" w:rsidRDefault="00350171" w:rsidP="00350171">
      <w:pPr>
        <w:pStyle w:val="Odsekzoznamu"/>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Futbalové ihrisko pri ZŠ</w:t>
      </w:r>
    </w:p>
    <w:p w:rsidR="00350171" w:rsidRDefault="00350171" w:rsidP="00350171">
      <w:pPr>
        <w:pStyle w:val="Odsekzoznamu"/>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Zrekonštruovaný miestny park, ktorého súčasťou je aj detské ihrisko</w:t>
      </w:r>
    </w:p>
    <w:p w:rsidR="002B4C4B" w:rsidRPr="00E73279" w:rsidRDefault="002B4C4B" w:rsidP="00E73279">
      <w:pPr>
        <w:spacing w:line="240" w:lineRule="auto"/>
        <w:rPr>
          <w:rFonts w:ascii="Times New Roman" w:hAnsi="Times New Roman" w:cs="Times New Roman"/>
          <w:b/>
          <w:sz w:val="28"/>
        </w:rPr>
      </w:pPr>
    </w:p>
    <w:p w:rsidR="002B4C4B" w:rsidRPr="00E73279" w:rsidRDefault="002B4C4B" w:rsidP="00C119AA">
      <w:pPr>
        <w:pStyle w:val="Odsekzoznamu"/>
        <w:numPr>
          <w:ilvl w:val="2"/>
          <w:numId w:val="3"/>
        </w:numPr>
        <w:spacing w:line="240" w:lineRule="auto"/>
        <w:ind w:left="1701" w:hanging="992"/>
        <w:jc w:val="both"/>
        <w:rPr>
          <w:rFonts w:ascii="Times New Roman" w:hAnsi="Times New Roman" w:cs="Times New Roman"/>
          <w:b/>
          <w:sz w:val="28"/>
        </w:rPr>
      </w:pPr>
      <w:r w:rsidRPr="00E73279">
        <w:rPr>
          <w:rFonts w:ascii="Times New Roman" w:hAnsi="Times New Roman" w:cs="Times New Roman"/>
          <w:b/>
          <w:sz w:val="28"/>
        </w:rPr>
        <w:t>Kultúrny a spoločenský život</w:t>
      </w:r>
    </w:p>
    <w:p w:rsidR="002B4C4B" w:rsidRDefault="00477ED0" w:rsidP="00477E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Kultúrny a spoločenský život v obci je podmienený najmä prítomnosťou rímskokatolíckeho kostola sv. Vendelína z roku 1760, ktorý slúži na pravidelné stretnutia obyvateľov v rámci nábožensky zameraných stretnutí. </w:t>
      </w:r>
    </w:p>
    <w:p w:rsidR="00477ED0" w:rsidRDefault="00477ED0" w:rsidP="00477E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Obec sa </w:t>
      </w:r>
      <w:r w:rsidR="00350171">
        <w:rPr>
          <w:rFonts w:ascii="Times New Roman" w:hAnsi="Times New Roman" w:cs="Times New Roman"/>
          <w:sz w:val="24"/>
          <w:szCs w:val="24"/>
        </w:rPr>
        <w:t>každoročne aktívne zapája do organizovania</w:t>
      </w:r>
      <w:r w:rsidR="001838BA">
        <w:rPr>
          <w:rFonts w:ascii="Times New Roman" w:hAnsi="Times New Roman" w:cs="Times New Roman"/>
          <w:sz w:val="24"/>
          <w:szCs w:val="24"/>
        </w:rPr>
        <w:t xml:space="preserve"> rô</w:t>
      </w:r>
      <w:r>
        <w:rPr>
          <w:rFonts w:ascii="Times New Roman" w:hAnsi="Times New Roman" w:cs="Times New Roman"/>
          <w:sz w:val="24"/>
          <w:szCs w:val="24"/>
        </w:rPr>
        <w:t>znych kultúrnych</w:t>
      </w:r>
      <w:r w:rsidR="007261E1">
        <w:rPr>
          <w:rFonts w:ascii="Times New Roman" w:hAnsi="Times New Roman" w:cs="Times New Roman"/>
          <w:sz w:val="24"/>
          <w:szCs w:val="24"/>
        </w:rPr>
        <w:t>, spoločenských a športových</w:t>
      </w:r>
      <w:r>
        <w:rPr>
          <w:rFonts w:ascii="Times New Roman" w:hAnsi="Times New Roman" w:cs="Times New Roman"/>
          <w:sz w:val="24"/>
          <w:szCs w:val="24"/>
        </w:rPr>
        <w:t xml:space="preserve"> podujatí</w:t>
      </w:r>
      <w:r w:rsidR="001838BA">
        <w:rPr>
          <w:rFonts w:ascii="Times New Roman" w:hAnsi="Times New Roman" w:cs="Times New Roman"/>
          <w:sz w:val="24"/>
          <w:szCs w:val="24"/>
        </w:rPr>
        <w:t>:</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Fašiangový sprievod obcou – február</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Maškarný ples – organizovaný v spolupráci s MŠ pri ZŠ Jatov</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Stavanie mája – apríl</w:t>
      </w:r>
    </w:p>
    <w:p w:rsidR="00350171" w:rsidRDefault="00350171"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Deň detí - jún</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Obvodná súťaž požiarnikov – miestny dobrovoľný zbor požiarnej ochrany</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Hodové slávnosti obce</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Cyklistické preteky Slovenský pohár </w:t>
      </w:r>
      <w:proofErr w:type="spellStart"/>
      <w:r>
        <w:rPr>
          <w:rFonts w:ascii="Times New Roman" w:hAnsi="Times New Roman" w:cs="Times New Roman"/>
          <w:sz w:val="24"/>
          <w:szCs w:val="24"/>
        </w:rPr>
        <w:t>Masters</w:t>
      </w:r>
      <w:proofErr w:type="spellEnd"/>
      <w:r w:rsidR="00350171">
        <w:rPr>
          <w:rFonts w:ascii="Times New Roman" w:hAnsi="Times New Roman" w:cs="Times New Roman"/>
          <w:sz w:val="24"/>
          <w:szCs w:val="24"/>
        </w:rPr>
        <w:t xml:space="preserve"> – august</w:t>
      </w:r>
    </w:p>
    <w:p w:rsidR="00350171" w:rsidRDefault="00350171"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Obnovenie manželského sľubu – strieborné, zlaté a diamantové sobáše – september</w:t>
      </w:r>
    </w:p>
    <w:p w:rsidR="00350171" w:rsidRDefault="00350171"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Mesiac úcty k starším – október</w:t>
      </w:r>
    </w:p>
    <w:p w:rsidR="00350171" w:rsidRDefault="00350171"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Mikuláš - december</w:t>
      </w:r>
    </w:p>
    <w:p w:rsidR="001838BA" w:rsidRDefault="001838BA" w:rsidP="001838BA">
      <w:pPr>
        <w:pStyle w:val="Odsekzoznamu"/>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Stolno-tenisový turnaj</w:t>
      </w:r>
    </w:p>
    <w:p w:rsidR="001838BA" w:rsidRDefault="001838BA" w:rsidP="001838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Možnosti kultúrneho a spoločenského </w:t>
      </w:r>
      <w:r w:rsidR="007261E1">
        <w:rPr>
          <w:rFonts w:ascii="Times New Roman" w:hAnsi="Times New Roman" w:cs="Times New Roman"/>
          <w:sz w:val="24"/>
          <w:szCs w:val="24"/>
        </w:rPr>
        <w:t>vyžitia v organizáciách:</w:t>
      </w:r>
    </w:p>
    <w:p w:rsidR="001838BA" w:rsidRDefault="001838BA" w:rsidP="001838BA">
      <w:pPr>
        <w:pStyle w:val="Odsekzoznamu"/>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Jednota dôchodcov – počet členov okolo 100</w:t>
      </w:r>
    </w:p>
    <w:p w:rsidR="001838BA" w:rsidRDefault="001838BA" w:rsidP="001838BA">
      <w:pPr>
        <w:pStyle w:val="Odsekzoznamu"/>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Spevácky zbor „</w:t>
      </w:r>
      <w:proofErr w:type="spellStart"/>
      <w:r>
        <w:rPr>
          <w:rFonts w:ascii="Times New Roman" w:hAnsi="Times New Roman" w:cs="Times New Roman"/>
          <w:sz w:val="24"/>
          <w:szCs w:val="24"/>
        </w:rPr>
        <w:t>Jatovčanka</w:t>
      </w:r>
      <w:proofErr w:type="spellEnd"/>
      <w:r>
        <w:rPr>
          <w:rFonts w:ascii="Times New Roman" w:hAnsi="Times New Roman" w:cs="Times New Roman"/>
          <w:sz w:val="24"/>
          <w:szCs w:val="24"/>
        </w:rPr>
        <w:t>“</w:t>
      </w:r>
    </w:p>
    <w:p w:rsidR="001838BA" w:rsidRDefault="001838BA" w:rsidP="001838BA">
      <w:pPr>
        <w:pStyle w:val="Odsekzoznamu"/>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Poľovnícke združenie</w:t>
      </w:r>
    </w:p>
    <w:p w:rsidR="001838BA" w:rsidRDefault="001838BA" w:rsidP="001838BA">
      <w:pPr>
        <w:pStyle w:val="Odsekzoznamu"/>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Futbalové mužstvo OFK Jatov</w:t>
      </w:r>
    </w:p>
    <w:p w:rsidR="001838BA" w:rsidRDefault="007261E1" w:rsidP="007261E1">
      <w:pPr>
        <w:spacing w:line="240" w:lineRule="auto"/>
        <w:jc w:val="both"/>
        <w:rPr>
          <w:rFonts w:ascii="Times New Roman" w:hAnsi="Times New Roman" w:cs="Times New Roman"/>
          <w:sz w:val="24"/>
          <w:szCs w:val="24"/>
        </w:rPr>
      </w:pPr>
      <w:r>
        <w:rPr>
          <w:rFonts w:ascii="Times New Roman" w:hAnsi="Times New Roman" w:cs="Times New Roman"/>
          <w:sz w:val="24"/>
          <w:szCs w:val="24"/>
        </w:rPr>
        <w:t>Na komunikáciu s občanmi obec využíva prevažne miestny rozhlas a obecnú vývesnú tabuľu umiestnenú pred budovou obecného úradu.</w:t>
      </w:r>
    </w:p>
    <w:p w:rsidR="007261E1" w:rsidRPr="007261E1" w:rsidRDefault="007261E1" w:rsidP="007261E1">
      <w:pPr>
        <w:spacing w:line="240" w:lineRule="auto"/>
        <w:jc w:val="both"/>
        <w:rPr>
          <w:rFonts w:ascii="Times New Roman" w:hAnsi="Times New Roman" w:cs="Times New Roman"/>
          <w:sz w:val="24"/>
          <w:szCs w:val="24"/>
        </w:rPr>
      </w:pPr>
    </w:p>
    <w:p w:rsidR="002B4C4B" w:rsidRPr="00E73279" w:rsidRDefault="002B4C4B" w:rsidP="00C119AA">
      <w:pPr>
        <w:pStyle w:val="Odsekzoznamu"/>
        <w:numPr>
          <w:ilvl w:val="2"/>
          <w:numId w:val="3"/>
        </w:numPr>
        <w:spacing w:line="240" w:lineRule="auto"/>
        <w:ind w:left="1560" w:hanging="851"/>
        <w:jc w:val="both"/>
        <w:rPr>
          <w:rFonts w:ascii="Times New Roman" w:hAnsi="Times New Roman" w:cs="Times New Roman"/>
          <w:b/>
          <w:sz w:val="28"/>
        </w:rPr>
      </w:pPr>
      <w:r w:rsidRPr="00E73279">
        <w:rPr>
          <w:rFonts w:ascii="Times New Roman" w:hAnsi="Times New Roman" w:cs="Times New Roman"/>
          <w:b/>
          <w:sz w:val="28"/>
        </w:rPr>
        <w:t>Mimovládny sektor</w:t>
      </w:r>
    </w:p>
    <w:p w:rsidR="00E73279" w:rsidRPr="00E73279" w:rsidRDefault="00E73279"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lastRenderedPageBreak/>
        <w:t>Mimovládne organizácie vytvárajú rôzne zoskupenia a plnia najrozličnejšie poslanie. Príkladom môžu byť napr. rôzne organizácie, ktoré vznikajú pri školách a sú založené vedením školy alebo združením rodičov, jednorazové pasívne organizácie založené na jednu príležitosť (festival, výstavu, vianočnú pomoc deťom), organizácie prepojené s inými významnými spoločenskými subjektmi alebo štátnymi štruktúrami a podobne (</w:t>
      </w:r>
      <w:proofErr w:type="spellStart"/>
      <w:r w:rsidRPr="00E73279">
        <w:rPr>
          <w:rFonts w:ascii="Times New Roman" w:hAnsi="Times New Roman" w:cs="Times New Roman"/>
          <w:sz w:val="24"/>
          <w:szCs w:val="24"/>
        </w:rPr>
        <w:t>Majdúchová</w:t>
      </w:r>
      <w:proofErr w:type="spellEnd"/>
      <w:r w:rsidRPr="00E73279">
        <w:rPr>
          <w:rFonts w:ascii="Times New Roman" w:hAnsi="Times New Roman" w:cs="Times New Roman"/>
          <w:sz w:val="24"/>
          <w:szCs w:val="24"/>
        </w:rPr>
        <w:t>, 2009).</w:t>
      </w:r>
    </w:p>
    <w:p w:rsidR="00E73279" w:rsidRPr="00E73279" w:rsidRDefault="00E73279"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V obci Jatov sú zriadené 4 mimovládne organizácie. Všetky majú právnu formu občianskeho združenia.</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DEREŠ, o. z. – rozvoj obce, regiónu, CR</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Obecný futbalový klub Jatov, o. z. – športový klub</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 xml:space="preserve">PIONIER MOTOCROSS CLUB, o. z.- </w:t>
      </w:r>
      <w:proofErr w:type="spellStart"/>
      <w:r w:rsidRPr="00E73279">
        <w:rPr>
          <w:rFonts w:ascii="Times New Roman" w:hAnsi="Times New Roman" w:cs="Times New Roman"/>
          <w:sz w:val="24"/>
          <w:szCs w:val="24"/>
        </w:rPr>
        <w:t>camping</w:t>
      </w:r>
      <w:proofErr w:type="spellEnd"/>
      <w:r w:rsidRPr="00E73279">
        <w:rPr>
          <w:rFonts w:ascii="Times New Roman" w:hAnsi="Times New Roman" w:cs="Times New Roman"/>
          <w:sz w:val="24"/>
          <w:szCs w:val="24"/>
        </w:rPr>
        <w:t xml:space="preserve">, </w:t>
      </w:r>
      <w:proofErr w:type="spellStart"/>
      <w:r w:rsidRPr="00E73279">
        <w:rPr>
          <w:rFonts w:ascii="Times New Roman" w:hAnsi="Times New Roman" w:cs="Times New Roman"/>
          <w:sz w:val="24"/>
          <w:szCs w:val="24"/>
        </w:rPr>
        <w:t>caravan</w:t>
      </w:r>
      <w:proofErr w:type="spellEnd"/>
      <w:r w:rsidRPr="00E73279">
        <w:rPr>
          <w:rFonts w:ascii="Times New Roman" w:hAnsi="Times New Roman" w:cs="Times New Roman"/>
          <w:sz w:val="24"/>
          <w:szCs w:val="24"/>
        </w:rPr>
        <w:t>, motorizmus</w:t>
      </w:r>
      <w:r w:rsidR="004663E7">
        <w:rPr>
          <w:rFonts w:ascii="Times New Roman" w:hAnsi="Times New Roman" w:cs="Times New Roman"/>
          <w:sz w:val="24"/>
          <w:szCs w:val="24"/>
        </w:rPr>
        <w:t xml:space="preserve"> – toto občianske združenie už nie je aktívne,</w:t>
      </w:r>
    </w:p>
    <w:p w:rsidR="00E73279" w:rsidRDefault="00E73279" w:rsidP="00C119AA">
      <w:pPr>
        <w:pStyle w:val="Odsekzoznamu"/>
        <w:numPr>
          <w:ilvl w:val="0"/>
          <w:numId w:val="5"/>
        </w:num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 xml:space="preserve">Združenie rodičov pri Základnej škole s materskou školou Jatov, o. z. </w:t>
      </w:r>
      <w:r w:rsidR="00BC544B">
        <w:rPr>
          <w:rFonts w:ascii="Times New Roman" w:hAnsi="Times New Roman" w:cs="Times New Roman"/>
          <w:sz w:val="24"/>
          <w:szCs w:val="24"/>
        </w:rPr>
        <w:t>–</w:t>
      </w:r>
      <w:r w:rsidRPr="00E73279">
        <w:rPr>
          <w:rFonts w:ascii="Times New Roman" w:hAnsi="Times New Roman" w:cs="Times New Roman"/>
          <w:sz w:val="24"/>
          <w:szCs w:val="24"/>
        </w:rPr>
        <w:t xml:space="preserve"> ZRPŠ</w:t>
      </w:r>
    </w:p>
    <w:p w:rsidR="00BC544B" w:rsidRDefault="00BC544B" w:rsidP="00BC544B">
      <w:pPr>
        <w:spacing w:line="240" w:lineRule="auto"/>
        <w:jc w:val="both"/>
        <w:rPr>
          <w:rFonts w:ascii="Times New Roman" w:hAnsi="Times New Roman" w:cs="Times New Roman"/>
          <w:sz w:val="24"/>
          <w:szCs w:val="24"/>
        </w:rPr>
      </w:pPr>
    </w:p>
    <w:p w:rsidR="00BC544B" w:rsidRPr="00BC544B" w:rsidRDefault="00BC544B" w:rsidP="00BC544B">
      <w:pPr>
        <w:spacing w:line="240" w:lineRule="auto"/>
        <w:jc w:val="both"/>
        <w:rPr>
          <w:rFonts w:ascii="Times New Roman" w:hAnsi="Times New Roman" w:cs="Times New Roman"/>
          <w:sz w:val="24"/>
          <w:szCs w:val="24"/>
        </w:rPr>
      </w:pPr>
    </w:p>
    <w:p w:rsidR="002B4C4B" w:rsidRPr="00E73279" w:rsidRDefault="002B4C4B" w:rsidP="00C119AA">
      <w:pPr>
        <w:pStyle w:val="Odsekzoznamu"/>
        <w:numPr>
          <w:ilvl w:val="2"/>
          <w:numId w:val="3"/>
        </w:numPr>
        <w:spacing w:line="240" w:lineRule="auto"/>
        <w:ind w:left="1560" w:hanging="1134"/>
        <w:jc w:val="both"/>
        <w:rPr>
          <w:rFonts w:ascii="Times New Roman" w:hAnsi="Times New Roman" w:cs="Times New Roman"/>
          <w:b/>
          <w:sz w:val="28"/>
        </w:rPr>
      </w:pPr>
      <w:r w:rsidRPr="00E73279">
        <w:rPr>
          <w:rFonts w:ascii="Times New Roman" w:hAnsi="Times New Roman" w:cs="Times New Roman"/>
          <w:b/>
          <w:sz w:val="28"/>
        </w:rPr>
        <w:t>Podnikateľské prostredie</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Ekonomická štruktúra obce je vo všeobecnosti tvorená ekonomickými subjektmi súkromného, občianskeho a verejného sektora disponujúcimi právnou subjektivitou, ktorý pre trh vytvárajú a poskytujú hodnoty, ktorými uspokojujú svoje potreby. Ekonomika je vitálnym prvkom fungovania obce a podmieňuje budúci rozvoj obce.</w:t>
      </w:r>
    </w:p>
    <w:p w:rsidR="00E73279" w:rsidRPr="00E73279" w:rsidRDefault="00E73279" w:rsidP="00E73279">
      <w:pPr>
        <w:spacing w:line="240" w:lineRule="auto"/>
        <w:jc w:val="both"/>
        <w:rPr>
          <w:rFonts w:ascii="Times New Roman" w:hAnsi="Times New Roman" w:cs="Times New Roman"/>
          <w:sz w:val="24"/>
        </w:rPr>
      </w:pPr>
      <w:r w:rsidRPr="00E73279">
        <w:rPr>
          <w:rFonts w:ascii="Times New Roman" w:hAnsi="Times New Roman" w:cs="Times New Roman"/>
          <w:sz w:val="24"/>
        </w:rPr>
        <w:t xml:space="preserve">Podnikateľské prostredie je v obci Jatov tvorené zväčša </w:t>
      </w:r>
      <w:proofErr w:type="spellStart"/>
      <w:r w:rsidRPr="00E73279">
        <w:rPr>
          <w:rFonts w:ascii="Times New Roman" w:hAnsi="Times New Roman" w:cs="Times New Roman"/>
          <w:sz w:val="24"/>
        </w:rPr>
        <w:t>mikropodnikmi</w:t>
      </w:r>
      <w:proofErr w:type="spellEnd"/>
      <w:r w:rsidRPr="00E73279">
        <w:rPr>
          <w:rFonts w:ascii="Times New Roman" w:hAnsi="Times New Roman" w:cs="Times New Roman"/>
          <w:sz w:val="24"/>
        </w:rPr>
        <w:t xml:space="preserve"> zamestnávajúcimi do 20 zamestnancov. V obci Rastislavice sa na zamestnanosti najvyššou mierou podieľajú nasledovní zamestnávatelia:</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rPr>
      </w:pPr>
      <w:proofErr w:type="spellStart"/>
      <w:r w:rsidRPr="00E73279">
        <w:rPr>
          <w:rFonts w:ascii="Times New Roman" w:hAnsi="Times New Roman" w:cs="Times New Roman"/>
          <w:sz w:val="24"/>
        </w:rPr>
        <w:t>Agroconsulting</w:t>
      </w:r>
      <w:proofErr w:type="spellEnd"/>
      <w:r w:rsidRPr="00E73279">
        <w:rPr>
          <w:rFonts w:ascii="Times New Roman" w:hAnsi="Times New Roman" w:cs="Times New Roman"/>
          <w:sz w:val="24"/>
        </w:rPr>
        <w:t xml:space="preserve"> </w:t>
      </w:r>
      <w:proofErr w:type="spellStart"/>
      <w:r w:rsidRPr="00E73279">
        <w:rPr>
          <w:rFonts w:ascii="Times New Roman" w:hAnsi="Times New Roman" w:cs="Times New Roman"/>
          <w:sz w:val="24"/>
        </w:rPr>
        <w:t>spol</w:t>
      </w:r>
      <w:proofErr w:type="spellEnd"/>
      <w:r w:rsidRPr="00E73279">
        <w:rPr>
          <w:rFonts w:ascii="Times New Roman" w:hAnsi="Times New Roman" w:cs="Times New Roman"/>
          <w:sz w:val="24"/>
        </w:rPr>
        <w:t>, s. r. o.</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rPr>
      </w:pPr>
      <w:proofErr w:type="spellStart"/>
      <w:r w:rsidRPr="00E73279">
        <w:rPr>
          <w:rFonts w:ascii="Times New Roman" w:hAnsi="Times New Roman" w:cs="Times New Roman"/>
          <w:sz w:val="24"/>
        </w:rPr>
        <w:t>Agro</w:t>
      </w:r>
      <w:proofErr w:type="spellEnd"/>
      <w:r w:rsidRPr="00E73279">
        <w:rPr>
          <w:rFonts w:ascii="Times New Roman" w:hAnsi="Times New Roman" w:cs="Times New Roman"/>
          <w:sz w:val="24"/>
        </w:rPr>
        <w:t xml:space="preserve"> Jatov, s. r. o.</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rPr>
      </w:pPr>
      <w:proofErr w:type="spellStart"/>
      <w:r w:rsidRPr="00E73279">
        <w:rPr>
          <w:rFonts w:ascii="Times New Roman" w:hAnsi="Times New Roman" w:cs="Times New Roman"/>
          <w:sz w:val="24"/>
        </w:rPr>
        <w:t>Vince</w:t>
      </w:r>
      <w:proofErr w:type="spellEnd"/>
      <w:r w:rsidRPr="00E73279">
        <w:rPr>
          <w:rFonts w:ascii="Times New Roman" w:hAnsi="Times New Roman" w:cs="Times New Roman"/>
          <w:sz w:val="24"/>
        </w:rPr>
        <w:t>, s. r. o.</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rPr>
      </w:pPr>
      <w:proofErr w:type="spellStart"/>
      <w:r w:rsidRPr="00E73279">
        <w:rPr>
          <w:rFonts w:ascii="Times New Roman" w:hAnsi="Times New Roman" w:cs="Times New Roman"/>
          <w:sz w:val="24"/>
        </w:rPr>
        <w:t>Bogdány</w:t>
      </w:r>
      <w:proofErr w:type="spellEnd"/>
      <w:r w:rsidRPr="00E73279">
        <w:rPr>
          <w:rFonts w:ascii="Times New Roman" w:hAnsi="Times New Roman" w:cs="Times New Roman"/>
          <w:sz w:val="24"/>
        </w:rPr>
        <w:t xml:space="preserve"> Peter – BANOPE</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rPr>
      </w:pPr>
      <w:proofErr w:type="spellStart"/>
      <w:r w:rsidRPr="00E73279">
        <w:rPr>
          <w:rFonts w:ascii="Times New Roman" w:hAnsi="Times New Roman" w:cs="Times New Roman"/>
          <w:sz w:val="24"/>
        </w:rPr>
        <w:t>Bogdány</w:t>
      </w:r>
      <w:proofErr w:type="spellEnd"/>
      <w:r w:rsidRPr="00E73279">
        <w:rPr>
          <w:rFonts w:ascii="Times New Roman" w:hAnsi="Times New Roman" w:cs="Times New Roman"/>
          <w:sz w:val="24"/>
        </w:rPr>
        <w:t xml:space="preserve"> Gabriel – Piváreň WEST</w:t>
      </w:r>
    </w:p>
    <w:p w:rsidR="00E73279" w:rsidRPr="00E73279" w:rsidRDefault="00E73279" w:rsidP="00C119AA">
      <w:pPr>
        <w:pStyle w:val="Odsekzoznamu"/>
        <w:numPr>
          <w:ilvl w:val="0"/>
          <w:numId w:val="5"/>
        </w:numPr>
        <w:spacing w:line="240" w:lineRule="auto"/>
        <w:jc w:val="both"/>
        <w:rPr>
          <w:rFonts w:ascii="Times New Roman" w:hAnsi="Times New Roman" w:cs="Times New Roman"/>
          <w:sz w:val="24"/>
        </w:rPr>
      </w:pPr>
      <w:proofErr w:type="spellStart"/>
      <w:r w:rsidRPr="00E73279">
        <w:rPr>
          <w:rFonts w:ascii="Times New Roman" w:hAnsi="Times New Roman" w:cs="Times New Roman"/>
          <w:sz w:val="24"/>
        </w:rPr>
        <w:t>Rábiková</w:t>
      </w:r>
      <w:proofErr w:type="spellEnd"/>
      <w:r w:rsidRPr="00E73279">
        <w:rPr>
          <w:rFonts w:ascii="Times New Roman" w:hAnsi="Times New Roman" w:cs="Times New Roman"/>
          <w:sz w:val="24"/>
        </w:rPr>
        <w:t xml:space="preserve"> Helena – BAR DEMI</w:t>
      </w:r>
    </w:p>
    <w:p w:rsidR="002B4C4B" w:rsidRPr="00E73279" w:rsidRDefault="002B4C4B" w:rsidP="00E73279">
      <w:pPr>
        <w:spacing w:line="240" w:lineRule="auto"/>
        <w:rPr>
          <w:rFonts w:ascii="Times New Roman" w:hAnsi="Times New Roman" w:cs="Times New Roman"/>
          <w:b/>
          <w:sz w:val="28"/>
        </w:rPr>
      </w:pPr>
    </w:p>
    <w:p w:rsidR="002B4C4B" w:rsidRPr="00E73279" w:rsidRDefault="002B4C4B" w:rsidP="00C119AA">
      <w:pPr>
        <w:pStyle w:val="Odsekzoznamu"/>
        <w:numPr>
          <w:ilvl w:val="2"/>
          <w:numId w:val="3"/>
        </w:numPr>
        <w:spacing w:line="240" w:lineRule="auto"/>
        <w:ind w:left="1701" w:hanging="992"/>
        <w:jc w:val="both"/>
        <w:rPr>
          <w:rFonts w:ascii="Times New Roman" w:hAnsi="Times New Roman" w:cs="Times New Roman"/>
          <w:b/>
          <w:sz w:val="28"/>
        </w:rPr>
      </w:pPr>
      <w:r w:rsidRPr="00E73279">
        <w:rPr>
          <w:rFonts w:ascii="Times New Roman" w:hAnsi="Times New Roman" w:cs="Times New Roman"/>
          <w:b/>
          <w:sz w:val="28"/>
        </w:rPr>
        <w:t>Materiálne zdroje</w:t>
      </w: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Stav vysporiadania vlastníckych vzťahov</w:t>
      </w:r>
    </w:p>
    <w:p w:rsidR="00BC544B" w:rsidRDefault="00BC544B" w:rsidP="00BC544B">
      <w:pPr>
        <w:spacing w:line="240" w:lineRule="auto"/>
        <w:jc w:val="both"/>
        <w:rPr>
          <w:rFonts w:ascii="Times New Roman" w:hAnsi="Times New Roman" w:cs="Times New Roman"/>
          <w:sz w:val="24"/>
        </w:rPr>
      </w:pPr>
      <w:r w:rsidRPr="00BC544B">
        <w:rPr>
          <w:rFonts w:ascii="Times New Roman" w:hAnsi="Times New Roman" w:cs="Times New Roman"/>
          <w:sz w:val="24"/>
        </w:rPr>
        <w:t>Územný plán obce Jatov bol schválený 26.1.2010, prvé zmeny a doplnky č.1/2015</w:t>
      </w:r>
      <w:r>
        <w:rPr>
          <w:rFonts w:ascii="Times New Roman" w:hAnsi="Times New Roman" w:cs="Times New Roman"/>
          <w:sz w:val="24"/>
        </w:rPr>
        <w:t>.</w:t>
      </w:r>
    </w:p>
    <w:p w:rsidR="00BC544B" w:rsidRPr="00BC544B" w:rsidRDefault="00BC544B" w:rsidP="00BC544B">
      <w:pPr>
        <w:spacing w:line="240" w:lineRule="auto"/>
        <w:jc w:val="both"/>
        <w:rPr>
          <w:rFonts w:ascii="Times New Roman" w:hAnsi="Times New Roman" w:cs="Times New Roman"/>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Stav územnoplánovacej dokumentácie a PHSR</w:t>
      </w:r>
    </w:p>
    <w:p w:rsidR="00BC544B" w:rsidRPr="00BC544B" w:rsidRDefault="00BC544B" w:rsidP="00BC544B">
      <w:pPr>
        <w:spacing w:line="240" w:lineRule="auto"/>
        <w:jc w:val="both"/>
        <w:rPr>
          <w:rFonts w:ascii="Times New Roman" w:hAnsi="Times New Roman" w:cs="Times New Roman"/>
          <w:sz w:val="24"/>
        </w:rPr>
      </w:pPr>
      <w:r w:rsidRPr="00BC544B">
        <w:rPr>
          <w:rFonts w:ascii="Times New Roman" w:hAnsi="Times New Roman" w:cs="Times New Roman"/>
          <w:sz w:val="24"/>
        </w:rPr>
        <w:t>R</w:t>
      </w:r>
      <w:r>
        <w:rPr>
          <w:rFonts w:ascii="Times New Roman" w:hAnsi="Times New Roman" w:cs="Times New Roman"/>
          <w:sz w:val="24"/>
        </w:rPr>
        <w:t xml:space="preserve">egister obnovenej evidencie pozemkov bol schválený </w:t>
      </w:r>
      <w:r w:rsidRPr="00BC544B">
        <w:rPr>
          <w:rFonts w:ascii="Times New Roman" w:hAnsi="Times New Roman" w:cs="Times New Roman"/>
          <w:sz w:val="24"/>
        </w:rPr>
        <w:t xml:space="preserve">v roku 2012, posledný PHSR bol schválený na roky 2005 </w:t>
      </w:r>
      <w:r>
        <w:rPr>
          <w:rFonts w:ascii="Times New Roman" w:hAnsi="Times New Roman" w:cs="Times New Roman"/>
          <w:sz w:val="24"/>
        </w:rPr>
        <w:t>–</w:t>
      </w:r>
      <w:r w:rsidRPr="00BC544B">
        <w:rPr>
          <w:rFonts w:ascii="Times New Roman" w:hAnsi="Times New Roman" w:cs="Times New Roman"/>
          <w:sz w:val="24"/>
        </w:rPr>
        <w:t xml:space="preserve"> 2015</w:t>
      </w:r>
      <w:r>
        <w:rPr>
          <w:rFonts w:ascii="Times New Roman" w:hAnsi="Times New Roman" w:cs="Times New Roman"/>
          <w:sz w:val="24"/>
        </w:rPr>
        <w:t>.</w:t>
      </w:r>
    </w:p>
    <w:p w:rsidR="002B4C4B" w:rsidRPr="00E73279" w:rsidRDefault="002B4C4B" w:rsidP="00E73279">
      <w:pPr>
        <w:spacing w:line="240" w:lineRule="auto"/>
        <w:rPr>
          <w:rFonts w:ascii="Times New Roman" w:hAnsi="Times New Roman" w:cs="Times New Roman"/>
          <w:b/>
          <w:i/>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Infraštruktúra obce</w:t>
      </w:r>
    </w:p>
    <w:p w:rsidR="00E73279" w:rsidRDefault="00D2061A" w:rsidP="00D2061A">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V obci sa nachádza základná vybavenosť zahŕňajúca dopravnú infraštruktúru, verejný vodovod a rozvodnú sieť plynu. Hlavným nedostatkom </w:t>
      </w:r>
      <w:proofErr w:type="spellStart"/>
      <w:r>
        <w:rPr>
          <w:rFonts w:ascii="Times New Roman" w:hAnsi="Times New Roman" w:cs="Times New Roman"/>
          <w:sz w:val="24"/>
        </w:rPr>
        <w:t>vplývyjúcim</w:t>
      </w:r>
      <w:proofErr w:type="spellEnd"/>
      <w:r>
        <w:rPr>
          <w:rFonts w:ascii="Times New Roman" w:hAnsi="Times New Roman" w:cs="Times New Roman"/>
          <w:sz w:val="24"/>
        </w:rPr>
        <w:t xml:space="preserve"> na kvalitu života obyvateľov obce a rovnako na jej ďalší rozvoj sa javí nevybudovaná verejná kanalizácia a jej pripojenie na kanalizačnú sieť. Rodinné domy využívajú na odvádzanie odpadových vôd septiky, ktoré predstavujú riziko pre kvalitu života v obci. Niektorí obyvatelia vypúšťajú septiky na vlastné pozemky a hrozí kontaminácia spodných zdrojov vody.</w:t>
      </w:r>
    </w:p>
    <w:tbl>
      <w:tblPr>
        <w:tblW w:w="6531" w:type="dxa"/>
        <w:tblInd w:w="60" w:type="dxa"/>
        <w:tblCellMar>
          <w:left w:w="70" w:type="dxa"/>
          <w:right w:w="70" w:type="dxa"/>
        </w:tblCellMar>
        <w:tblLook w:val="04A0" w:firstRow="1" w:lastRow="0" w:firstColumn="1" w:lastColumn="0" w:noHBand="0" w:noVBand="1"/>
      </w:tblPr>
      <w:tblGrid>
        <w:gridCol w:w="2420"/>
        <w:gridCol w:w="4111"/>
      </w:tblGrid>
      <w:tr w:rsidR="00B86628" w:rsidRPr="00350171" w:rsidTr="006244C3">
        <w:trPr>
          <w:trHeight w:val="300"/>
        </w:trPr>
        <w:tc>
          <w:tcPr>
            <w:tcW w:w="2420" w:type="dxa"/>
            <w:vMerge w:val="restart"/>
            <w:tcBorders>
              <w:top w:val="single" w:sz="8" w:space="0" w:color="auto"/>
              <w:left w:val="single" w:sz="8" w:space="0" w:color="auto"/>
              <w:bottom w:val="nil"/>
              <w:right w:val="single" w:sz="8" w:space="0" w:color="auto"/>
            </w:tcBorders>
            <w:shd w:val="clear" w:color="auto" w:fill="auto"/>
            <w:vAlign w:val="bottom"/>
            <w:hideMark/>
          </w:tcPr>
          <w:p w:rsidR="00B86628" w:rsidRPr="00B4041B" w:rsidRDefault="00B86628" w:rsidP="006244C3">
            <w:pPr>
              <w:spacing w:after="0" w:line="240" w:lineRule="auto"/>
              <w:jc w:val="both"/>
              <w:rPr>
                <w:rFonts w:ascii="Times New Roman" w:eastAsia="Times New Roman" w:hAnsi="Times New Roman" w:cs="Times New Roman"/>
                <w:b/>
                <w:bCs/>
                <w:color w:val="000000"/>
                <w:sz w:val="24"/>
                <w:szCs w:val="24"/>
                <w:lang w:eastAsia="sk-SK"/>
              </w:rPr>
            </w:pPr>
            <w:r w:rsidRPr="00B4041B">
              <w:rPr>
                <w:rFonts w:ascii="Times New Roman" w:eastAsia="Times New Roman" w:hAnsi="Times New Roman" w:cs="Times New Roman"/>
                <w:b/>
                <w:bCs/>
                <w:color w:val="000000"/>
                <w:sz w:val="24"/>
                <w:szCs w:val="24"/>
                <w:lang w:eastAsia="sk-SK"/>
              </w:rPr>
              <w:t xml:space="preserve">Infraštruktúra </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86628" w:rsidRPr="00B4041B" w:rsidRDefault="00B86628" w:rsidP="006244C3">
            <w:pPr>
              <w:spacing w:after="0" w:line="240" w:lineRule="auto"/>
              <w:jc w:val="both"/>
              <w:rPr>
                <w:rFonts w:ascii="Times New Roman" w:eastAsia="Times New Roman" w:hAnsi="Times New Roman" w:cs="Times New Roman"/>
                <w:b/>
                <w:bCs/>
                <w:color w:val="000000"/>
                <w:sz w:val="24"/>
                <w:szCs w:val="24"/>
                <w:lang w:eastAsia="sk-SK"/>
              </w:rPr>
            </w:pPr>
            <w:r w:rsidRPr="00B4041B">
              <w:rPr>
                <w:rFonts w:ascii="Times New Roman" w:eastAsia="Times New Roman" w:hAnsi="Times New Roman" w:cs="Times New Roman"/>
                <w:b/>
                <w:bCs/>
                <w:color w:val="000000"/>
                <w:sz w:val="24"/>
                <w:szCs w:val="24"/>
                <w:lang w:eastAsia="sk-SK"/>
              </w:rPr>
              <w:t>Obec</w:t>
            </w:r>
          </w:p>
        </w:tc>
      </w:tr>
      <w:tr w:rsidR="00B86628" w:rsidRPr="00350171" w:rsidTr="006244C3">
        <w:trPr>
          <w:trHeight w:val="315"/>
        </w:trPr>
        <w:tc>
          <w:tcPr>
            <w:tcW w:w="2420" w:type="dxa"/>
            <w:vMerge/>
            <w:tcBorders>
              <w:top w:val="single" w:sz="8" w:space="0" w:color="auto"/>
              <w:left w:val="single" w:sz="8" w:space="0" w:color="auto"/>
              <w:bottom w:val="nil"/>
              <w:right w:val="single" w:sz="8" w:space="0" w:color="auto"/>
            </w:tcBorders>
            <w:vAlign w:val="center"/>
            <w:hideMark/>
          </w:tcPr>
          <w:p w:rsidR="00B86628" w:rsidRPr="00B4041B" w:rsidRDefault="00B86628" w:rsidP="006244C3">
            <w:pPr>
              <w:spacing w:after="0" w:line="240" w:lineRule="auto"/>
              <w:rPr>
                <w:rFonts w:ascii="Times New Roman" w:eastAsia="Times New Roman" w:hAnsi="Times New Roman" w:cs="Times New Roman"/>
                <w:b/>
                <w:bCs/>
                <w:color w:val="000000"/>
                <w:sz w:val="24"/>
                <w:szCs w:val="24"/>
                <w:lang w:eastAsia="sk-SK"/>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B86628" w:rsidRPr="00B4041B" w:rsidRDefault="00B86628" w:rsidP="006244C3">
            <w:pPr>
              <w:spacing w:after="0" w:line="240" w:lineRule="auto"/>
              <w:rPr>
                <w:rFonts w:ascii="Times New Roman" w:eastAsia="Times New Roman" w:hAnsi="Times New Roman" w:cs="Times New Roman"/>
                <w:b/>
                <w:bCs/>
                <w:color w:val="000000"/>
                <w:sz w:val="24"/>
                <w:szCs w:val="24"/>
                <w:lang w:eastAsia="sk-SK"/>
              </w:rPr>
            </w:pPr>
          </w:p>
        </w:tc>
      </w:tr>
      <w:tr w:rsidR="00B86628" w:rsidRPr="00350171" w:rsidTr="006244C3">
        <w:trPr>
          <w:trHeight w:val="330"/>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cesty I. triedy</w:t>
            </w:r>
          </w:p>
        </w:tc>
        <w:tc>
          <w:tcPr>
            <w:tcW w:w="4111" w:type="dxa"/>
            <w:tcBorders>
              <w:top w:val="nil"/>
              <w:left w:val="nil"/>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cca 6,5 km</w:t>
            </w:r>
          </w:p>
        </w:tc>
      </w:tr>
      <w:tr w:rsidR="00B86628" w:rsidRPr="00350171" w:rsidTr="006244C3">
        <w:trPr>
          <w:trHeight w:val="330"/>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cesty II. triedy</w:t>
            </w:r>
          </w:p>
        </w:tc>
        <w:tc>
          <w:tcPr>
            <w:tcW w:w="4111" w:type="dxa"/>
            <w:tcBorders>
              <w:top w:val="nil"/>
              <w:left w:val="nil"/>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p>
        </w:tc>
      </w:tr>
      <w:tr w:rsidR="00B86628" w:rsidRPr="00350171" w:rsidTr="006244C3">
        <w:trPr>
          <w:trHeight w:val="330"/>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cesty III. triedy</w:t>
            </w:r>
          </w:p>
        </w:tc>
        <w:tc>
          <w:tcPr>
            <w:tcW w:w="4111" w:type="dxa"/>
            <w:tcBorders>
              <w:top w:val="nil"/>
              <w:left w:val="nil"/>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cca 3 km</w:t>
            </w:r>
          </w:p>
        </w:tc>
      </w:tr>
      <w:tr w:rsidR="00B86628" w:rsidRPr="00350171" w:rsidTr="006244C3">
        <w:trPr>
          <w:trHeight w:val="316"/>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Železničná sieť v km</w:t>
            </w:r>
          </w:p>
        </w:tc>
        <w:tc>
          <w:tcPr>
            <w:tcW w:w="4111" w:type="dxa"/>
            <w:tcBorders>
              <w:top w:val="nil"/>
              <w:left w:val="nil"/>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Cca 6,5 km</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Plyn v </w:t>
            </w:r>
            <w:proofErr w:type="spellStart"/>
            <w:r w:rsidRPr="00B4041B">
              <w:rPr>
                <w:rFonts w:ascii="Times New Roman" w:eastAsia="Times New Roman" w:hAnsi="Times New Roman" w:cs="Times New Roman"/>
                <w:color w:val="000000"/>
                <w:sz w:val="24"/>
                <w:szCs w:val="24"/>
                <w:lang w:eastAsia="sk-SK"/>
              </w:rPr>
              <w:t>bm</w:t>
            </w:r>
            <w:proofErr w:type="spellEnd"/>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10 358 </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Kanalizácia v </w:t>
            </w:r>
            <w:proofErr w:type="spellStart"/>
            <w:r w:rsidRPr="00B4041B">
              <w:rPr>
                <w:rFonts w:ascii="Times New Roman" w:eastAsia="Times New Roman" w:hAnsi="Times New Roman" w:cs="Times New Roman"/>
                <w:color w:val="000000"/>
                <w:sz w:val="24"/>
                <w:szCs w:val="24"/>
                <w:lang w:eastAsia="sk-SK"/>
              </w:rPr>
              <w:t>bm</w:t>
            </w:r>
            <w:proofErr w:type="spellEnd"/>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ČOV</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Vodovod v </w:t>
            </w:r>
            <w:proofErr w:type="spellStart"/>
            <w:r w:rsidRPr="00B4041B">
              <w:rPr>
                <w:rFonts w:ascii="Times New Roman" w:eastAsia="Times New Roman" w:hAnsi="Times New Roman" w:cs="Times New Roman"/>
                <w:color w:val="000000"/>
                <w:sz w:val="24"/>
                <w:szCs w:val="24"/>
                <w:lang w:eastAsia="sk-SK"/>
              </w:rPr>
              <w:t>bm</w:t>
            </w:r>
            <w:proofErr w:type="spellEnd"/>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5157 </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Domové ČOV</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w:t>
            </w:r>
          </w:p>
        </w:tc>
      </w:tr>
      <w:tr w:rsidR="00B86628" w:rsidRPr="00350171" w:rsidTr="006244C3">
        <w:trPr>
          <w:trHeight w:val="307"/>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Spôsob vykurovania</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Plyn, pevné palivo, elektrická energia</w:t>
            </w:r>
          </w:p>
        </w:tc>
      </w:tr>
      <w:tr w:rsidR="00B86628" w:rsidRPr="00350171" w:rsidTr="006244C3">
        <w:trPr>
          <w:trHeight w:val="330"/>
        </w:trPr>
        <w:tc>
          <w:tcPr>
            <w:tcW w:w="2420" w:type="dxa"/>
            <w:tcBorders>
              <w:top w:val="nil"/>
              <w:left w:val="single" w:sz="8" w:space="0" w:color="auto"/>
              <w:bottom w:val="nil"/>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Vedenie el. energie</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w:t>
            </w:r>
            <w:r w:rsidR="00B4041B">
              <w:rPr>
                <w:rFonts w:ascii="Times New Roman" w:eastAsia="Times New Roman" w:hAnsi="Times New Roman" w:cs="Times New Roman"/>
                <w:color w:val="000000"/>
                <w:sz w:val="24"/>
                <w:szCs w:val="24"/>
                <w:lang w:eastAsia="sk-SK"/>
              </w:rPr>
              <w:t>áno</w:t>
            </w:r>
          </w:p>
        </w:tc>
      </w:tr>
      <w:tr w:rsidR="00B86628" w:rsidRPr="00350171" w:rsidTr="006244C3">
        <w:trPr>
          <w:trHeight w:val="330"/>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     Káblové</w:t>
            </w:r>
          </w:p>
        </w:tc>
        <w:tc>
          <w:tcPr>
            <w:tcW w:w="4111" w:type="dxa"/>
            <w:tcBorders>
              <w:top w:val="nil"/>
              <w:left w:val="nil"/>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áno</w:t>
            </w:r>
          </w:p>
        </w:tc>
      </w:tr>
      <w:tr w:rsidR="00B86628" w:rsidRPr="00350171" w:rsidTr="006244C3">
        <w:trPr>
          <w:trHeight w:val="330"/>
        </w:trPr>
        <w:tc>
          <w:tcPr>
            <w:tcW w:w="2420" w:type="dxa"/>
            <w:tcBorders>
              <w:top w:val="nil"/>
              <w:left w:val="single" w:sz="8" w:space="0" w:color="auto"/>
              <w:bottom w:val="nil"/>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proofErr w:type="spellStart"/>
            <w:r w:rsidRPr="00B4041B">
              <w:rPr>
                <w:rFonts w:ascii="Times New Roman" w:eastAsia="Times New Roman" w:hAnsi="Times New Roman" w:cs="Times New Roman"/>
                <w:color w:val="000000"/>
                <w:sz w:val="24"/>
                <w:szCs w:val="24"/>
                <w:lang w:eastAsia="sk-SK"/>
              </w:rPr>
              <w:t>Želez</w:t>
            </w:r>
            <w:proofErr w:type="spellEnd"/>
            <w:r w:rsidRPr="00B4041B">
              <w:rPr>
                <w:rFonts w:ascii="Times New Roman" w:eastAsia="Times New Roman" w:hAnsi="Times New Roman" w:cs="Times New Roman"/>
                <w:color w:val="000000"/>
                <w:sz w:val="24"/>
                <w:szCs w:val="24"/>
                <w:lang w:eastAsia="sk-SK"/>
              </w:rPr>
              <w:t>. stanica</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1</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     Vlakové spoje</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CA5756">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BA</w:t>
            </w:r>
            <w:r w:rsidR="00943ADF" w:rsidRPr="00B4041B">
              <w:rPr>
                <w:rFonts w:ascii="Times New Roman" w:eastAsia="Times New Roman" w:hAnsi="Times New Roman" w:cs="Times New Roman"/>
                <w:color w:val="000000"/>
                <w:sz w:val="24"/>
                <w:szCs w:val="24"/>
                <w:lang w:eastAsia="sk-SK"/>
              </w:rPr>
              <w:t xml:space="preserve">, </w:t>
            </w:r>
            <w:r w:rsidR="00CA5756" w:rsidRPr="00B4041B">
              <w:rPr>
                <w:rFonts w:ascii="Times New Roman" w:eastAsia="Times New Roman" w:hAnsi="Times New Roman" w:cs="Times New Roman"/>
                <w:color w:val="000000"/>
                <w:sz w:val="24"/>
                <w:szCs w:val="24"/>
                <w:lang w:eastAsia="sk-SK"/>
              </w:rPr>
              <w:t>NZ</w:t>
            </w:r>
          </w:p>
        </w:tc>
      </w:tr>
      <w:tr w:rsidR="00B86628" w:rsidRPr="00350171" w:rsidTr="006244C3">
        <w:trPr>
          <w:trHeight w:val="339"/>
        </w:trPr>
        <w:tc>
          <w:tcPr>
            <w:tcW w:w="2420"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    </w:t>
            </w:r>
            <w:proofErr w:type="spellStart"/>
            <w:r w:rsidRPr="00B4041B">
              <w:rPr>
                <w:rFonts w:ascii="Times New Roman" w:eastAsia="Times New Roman" w:hAnsi="Times New Roman" w:cs="Times New Roman"/>
                <w:color w:val="000000"/>
                <w:sz w:val="24"/>
                <w:szCs w:val="24"/>
                <w:lang w:eastAsia="sk-SK"/>
              </w:rPr>
              <w:t>Autob</w:t>
            </w:r>
            <w:proofErr w:type="spellEnd"/>
            <w:r w:rsidRPr="00B4041B">
              <w:rPr>
                <w:rFonts w:ascii="Times New Roman" w:eastAsia="Times New Roman" w:hAnsi="Times New Roman" w:cs="Times New Roman"/>
                <w:color w:val="000000"/>
                <w:sz w:val="24"/>
                <w:szCs w:val="24"/>
                <w:lang w:eastAsia="sk-SK"/>
              </w:rPr>
              <w:t>. spojenie</w:t>
            </w:r>
          </w:p>
        </w:tc>
        <w:tc>
          <w:tcPr>
            <w:tcW w:w="4111" w:type="dxa"/>
            <w:tcBorders>
              <w:top w:val="nil"/>
              <w:left w:val="nil"/>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Áno, Nové Zámky, Šaľa, Rastislavice</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 xml:space="preserve">    Z toho expresné</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nie</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Telefónny rozvod</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áno</w:t>
            </w:r>
          </w:p>
        </w:tc>
      </w:tr>
      <w:tr w:rsidR="00B86628" w:rsidRPr="00350171" w:rsidTr="006244C3">
        <w:trPr>
          <w:trHeight w:val="33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Rozhlas</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áno</w:t>
            </w:r>
          </w:p>
        </w:tc>
      </w:tr>
      <w:tr w:rsidR="00B86628" w:rsidRPr="00277423" w:rsidTr="006244C3">
        <w:trPr>
          <w:trHeight w:val="200"/>
        </w:trPr>
        <w:tc>
          <w:tcPr>
            <w:tcW w:w="2420" w:type="dxa"/>
            <w:tcBorders>
              <w:top w:val="nil"/>
              <w:left w:val="single" w:sz="8" w:space="0" w:color="auto"/>
              <w:bottom w:val="single" w:sz="8" w:space="0" w:color="auto"/>
              <w:right w:val="nil"/>
            </w:tcBorders>
            <w:shd w:val="clear" w:color="auto" w:fill="auto"/>
            <w:noWrap/>
            <w:vAlign w:val="bottom"/>
            <w:hideMark/>
          </w:tcPr>
          <w:p w:rsidR="00B86628" w:rsidRPr="00B4041B" w:rsidRDefault="00B86628" w:rsidP="006244C3">
            <w:pPr>
              <w:spacing w:after="0" w:line="240" w:lineRule="auto"/>
              <w:jc w:val="both"/>
              <w:rPr>
                <w:rFonts w:ascii="Times New Roman" w:eastAsia="Times New Roman" w:hAnsi="Times New Roman" w:cs="Times New Roman"/>
                <w:color w:val="000000"/>
                <w:sz w:val="24"/>
                <w:szCs w:val="24"/>
                <w:lang w:eastAsia="sk-SK"/>
              </w:rPr>
            </w:pPr>
            <w:r w:rsidRPr="00B4041B">
              <w:rPr>
                <w:rFonts w:ascii="Times New Roman" w:eastAsia="Times New Roman" w:hAnsi="Times New Roman" w:cs="Times New Roman"/>
                <w:color w:val="000000"/>
                <w:sz w:val="24"/>
                <w:szCs w:val="24"/>
                <w:lang w:eastAsia="sk-SK"/>
              </w:rPr>
              <w:t>Káblová TV</w:t>
            </w:r>
          </w:p>
        </w:tc>
        <w:tc>
          <w:tcPr>
            <w:tcW w:w="4111" w:type="dxa"/>
            <w:tcBorders>
              <w:top w:val="nil"/>
              <w:left w:val="single" w:sz="8" w:space="0" w:color="auto"/>
              <w:bottom w:val="single" w:sz="8" w:space="0" w:color="auto"/>
              <w:right w:val="single" w:sz="8" w:space="0" w:color="auto"/>
            </w:tcBorders>
            <w:shd w:val="clear" w:color="auto" w:fill="auto"/>
            <w:noWrap/>
            <w:vAlign w:val="bottom"/>
            <w:hideMark/>
          </w:tcPr>
          <w:p w:rsidR="00B86628" w:rsidRPr="00B4041B" w:rsidRDefault="00B4041B" w:rsidP="006244C3">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bookmarkStart w:id="0" w:name="_GoBack"/>
            <w:bookmarkEnd w:id="0"/>
          </w:p>
        </w:tc>
      </w:tr>
    </w:tbl>
    <w:p w:rsidR="00B86628" w:rsidRPr="00D2061A" w:rsidRDefault="00B86628" w:rsidP="00D2061A">
      <w:pPr>
        <w:spacing w:line="240" w:lineRule="auto"/>
        <w:jc w:val="both"/>
        <w:rPr>
          <w:rFonts w:ascii="Times New Roman" w:hAnsi="Times New Roman" w:cs="Times New Roman"/>
          <w:sz w:val="24"/>
        </w:rPr>
      </w:pPr>
    </w:p>
    <w:p w:rsidR="002B4C4B" w:rsidRPr="00E73279" w:rsidRDefault="002B4C4B" w:rsidP="00E73279">
      <w:pPr>
        <w:spacing w:line="240" w:lineRule="auto"/>
        <w:rPr>
          <w:rFonts w:ascii="Times New Roman" w:hAnsi="Times New Roman" w:cs="Times New Roman"/>
          <w:b/>
          <w:i/>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Domový a bytový fond</w:t>
      </w:r>
    </w:p>
    <w:p w:rsidR="002B4C4B" w:rsidRDefault="008313BB" w:rsidP="00E73279">
      <w:pPr>
        <w:spacing w:line="240" w:lineRule="auto"/>
        <w:rPr>
          <w:rFonts w:ascii="Times New Roman" w:hAnsi="Times New Roman" w:cs="Times New Roman"/>
          <w:sz w:val="24"/>
        </w:rPr>
      </w:pPr>
      <w:r>
        <w:rPr>
          <w:rFonts w:ascii="Times New Roman" w:hAnsi="Times New Roman" w:cs="Times New Roman"/>
          <w:sz w:val="24"/>
        </w:rPr>
        <w:t>Uvedené údaje boli čerpané z posledných dostupných údajov vyplývajúcich zo Sčítania ľudu 2011.</w:t>
      </w:r>
    </w:p>
    <w:p w:rsidR="003B529B" w:rsidRPr="008313BB" w:rsidRDefault="003B529B" w:rsidP="00E73279">
      <w:pPr>
        <w:spacing w:line="240" w:lineRule="auto"/>
        <w:rPr>
          <w:rFonts w:ascii="Times New Roman" w:hAnsi="Times New Roman" w:cs="Times New Roman"/>
          <w:sz w:val="24"/>
        </w:rPr>
      </w:pPr>
      <w:r>
        <w:rPr>
          <w:rFonts w:ascii="Times New Roman" w:hAnsi="Times New Roman" w:cs="Times New Roman"/>
          <w:sz w:val="24"/>
        </w:rPr>
        <w:t>Tabuľka – Domový a bytový fond</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8"/>
        <w:gridCol w:w="2702"/>
        <w:gridCol w:w="1356"/>
        <w:gridCol w:w="1763"/>
      </w:tblGrid>
      <w:tr w:rsidR="008313BB" w:rsidRPr="006F6AFC" w:rsidTr="008313BB">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sz w:val="24"/>
                <w:szCs w:val="24"/>
              </w:rPr>
            </w:pPr>
            <w:r w:rsidRPr="00494D3A">
              <w:rPr>
                <w:rFonts w:ascii="Times New Roman" w:hAnsi="Times New Roman" w:cs="Times New Roman"/>
                <w:b/>
                <w:bCs/>
                <w:sz w:val="24"/>
                <w:szCs w:val="24"/>
              </w:rPr>
              <w:t>Počet</w:t>
            </w:r>
          </w:p>
        </w:tc>
        <w:tc>
          <w:tcPr>
            <w:tcW w:w="2702"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sidRPr="006F6AFC">
              <w:rPr>
                <w:rFonts w:ascii="Times New Roman" w:hAnsi="Times New Roman" w:cs="Times New Roman"/>
                <w:b/>
                <w:bCs/>
                <w:sz w:val="24"/>
                <w:szCs w:val="24"/>
              </w:rPr>
              <w:t>Rodinné domy</w:t>
            </w:r>
          </w:p>
        </w:tc>
        <w:tc>
          <w:tcPr>
            <w:tcW w:w="3119" w:type="dxa"/>
            <w:gridSpan w:val="2"/>
            <w:vAlign w:val="center"/>
          </w:tcPr>
          <w:p w:rsidR="008313BB" w:rsidRPr="006F6AFC" w:rsidRDefault="008313BB" w:rsidP="006F5D6E">
            <w:pPr>
              <w:spacing w:line="240" w:lineRule="auto"/>
              <w:rPr>
                <w:rFonts w:ascii="Times New Roman" w:hAnsi="Times New Roman" w:cs="Times New Roman"/>
                <w:b/>
                <w:bCs/>
                <w:sz w:val="24"/>
                <w:szCs w:val="24"/>
              </w:rPr>
            </w:pPr>
            <w:r w:rsidRPr="006F6AFC">
              <w:rPr>
                <w:rFonts w:ascii="Times New Roman" w:hAnsi="Times New Roman" w:cs="Times New Roman"/>
                <w:b/>
                <w:bCs/>
                <w:sz w:val="24"/>
                <w:szCs w:val="24"/>
              </w:rPr>
              <w:t>Bytové domy</w:t>
            </w:r>
          </w:p>
        </w:tc>
      </w:tr>
      <w:tr w:rsidR="008313BB" w:rsidRPr="006F6AFC" w:rsidTr="008313BB">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sidRPr="006F6AFC">
              <w:rPr>
                <w:rFonts w:ascii="Times New Roman" w:hAnsi="Times New Roman" w:cs="Times New Roman"/>
                <w:b/>
                <w:bCs/>
                <w:sz w:val="24"/>
                <w:szCs w:val="24"/>
              </w:rPr>
              <w:t>Domov spolu</w:t>
            </w:r>
          </w:p>
        </w:tc>
        <w:tc>
          <w:tcPr>
            <w:tcW w:w="2702" w:type="dxa"/>
            <w:vAlign w:val="center"/>
          </w:tcPr>
          <w:p w:rsidR="008313BB" w:rsidRPr="006F6AFC" w:rsidRDefault="008313BB" w:rsidP="008313BB">
            <w:pPr>
              <w:spacing w:line="240" w:lineRule="auto"/>
              <w:jc w:val="both"/>
              <w:rPr>
                <w:rFonts w:ascii="Times New Roman" w:hAnsi="Times New Roman" w:cs="Times New Roman"/>
                <w:sz w:val="24"/>
                <w:szCs w:val="24"/>
              </w:rPr>
            </w:pPr>
            <w:r>
              <w:rPr>
                <w:rFonts w:ascii="Times New Roman" w:hAnsi="Times New Roman" w:cs="Times New Roman"/>
                <w:sz w:val="24"/>
                <w:szCs w:val="24"/>
              </w:rPr>
              <w:t>292</w:t>
            </w:r>
          </w:p>
        </w:tc>
        <w:tc>
          <w:tcPr>
            <w:tcW w:w="3119" w:type="dxa"/>
            <w:gridSpan w:val="2"/>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313BB" w:rsidRPr="006F6AFC" w:rsidTr="008313BB">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sidRPr="006F6AFC">
              <w:rPr>
                <w:rFonts w:ascii="Times New Roman" w:hAnsi="Times New Roman" w:cs="Times New Roman"/>
                <w:b/>
                <w:bCs/>
                <w:sz w:val="24"/>
                <w:szCs w:val="24"/>
              </w:rPr>
              <w:t>Trvale obývané domy</w:t>
            </w:r>
          </w:p>
        </w:tc>
        <w:tc>
          <w:tcPr>
            <w:tcW w:w="2702" w:type="dxa"/>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251</w:t>
            </w:r>
          </w:p>
        </w:tc>
        <w:tc>
          <w:tcPr>
            <w:tcW w:w="3119" w:type="dxa"/>
            <w:gridSpan w:val="2"/>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313BB" w:rsidRPr="006F6AFC" w:rsidTr="006F5D6E">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sidRPr="006F6AFC">
              <w:rPr>
                <w:rFonts w:ascii="Times New Roman" w:hAnsi="Times New Roman" w:cs="Times New Roman"/>
                <w:b/>
                <w:bCs/>
                <w:sz w:val="24"/>
                <w:szCs w:val="24"/>
              </w:rPr>
              <w:t>V %</w:t>
            </w:r>
          </w:p>
        </w:tc>
        <w:tc>
          <w:tcPr>
            <w:tcW w:w="5821" w:type="dxa"/>
            <w:gridSpan w:val="3"/>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86 %</w:t>
            </w:r>
          </w:p>
        </w:tc>
      </w:tr>
      <w:tr w:rsidR="008313BB" w:rsidRPr="006F6AFC" w:rsidTr="008313BB">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sidRPr="006F6AFC">
              <w:rPr>
                <w:rFonts w:ascii="Times New Roman" w:hAnsi="Times New Roman" w:cs="Times New Roman"/>
                <w:b/>
                <w:bCs/>
                <w:sz w:val="24"/>
                <w:szCs w:val="24"/>
              </w:rPr>
              <w:lastRenderedPageBreak/>
              <w:t>Vlastníctvo FO</w:t>
            </w:r>
          </w:p>
        </w:tc>
        <w:tc>
          <w:tcPr>
            <w:tcW w:w="5821" w:type="dxa"/>
            <w:gridSpan w:val="3"/>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235</w:t>
            </w:r>
          </w:p>
        </w:tc>
      </w:tr>
      <w:tr w:rsidR="008313BB" w:rsidRPr="006F6AFC" w:rsidTr="008313BB">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Kombinácia vlastníkov</w:t>
            </w:r>
          </w:p>
        </w:tc>
        <w:tc>
          <w:tcPr>
            <w:tcW w:w="5821" w:type="dxa"/>
            <w:gridSpan w:val="3"/>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8313BB" w:rsidRPr="006F6AFC" w:rsidTr="008313BB">
        <w:trPr>
          <w:trHeight w:val="340"/>
        </w:trPr>
        <w:tc>
          <w:tcPr>
            <w:tcW w:w="3038" w:type="dxa"/>
            <w:vAlign w:val="center"/>
          </w:tcPr>
          <w:p w:rsidR="008313BB" w:rsidRPr="006F6AFC" w:rsidRDefault="008313BB" w:rsidP="006F5D6E">
            <w:pPr>
              <w:spacing w:line="240" w:lineRule="auto"/>
              <w:jc w:val="both"/>
              <w:rPr>
                <w:rFonts w:ascii="Times New Roman" w:hAnsi="Times New Roman" w:cs="Times New Roman"/>
                <w:b/>
                <w:bCs/>
                <w:sz w:val="24"/>
                <w:szCs w:val="24"/>
              </w:rPr>
            </w:pPr>
            <w:r w:rsidRPr="006F6AFC">
              <w:rPr>
                <w:rFonts w:ascii="Times New Roman" w:hAnsi="Times New Roman" w:cs="Times New Roman"/>
                <w:b/>
                <w:bCs/>
                <w:sz w:val="24"/>
                <w:szCs w:val="24"/>
              </w:rPr>
              <w:t>Neobývané</w:t>
            </w:r>
          </w:p>
        </w:tc>
        <w:tc>
          <w:tcPr>
            <w:tcW w:w="2702" w:type="dxa"/>
            <w:vAlign w:val="center"/>
          </w:tcPr>
          <w:p w:rsidR="008313BB" w:rsidRPr="006F6AFC" w:rsidRDefault="003B529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1356" w:type="dxa"/>
            <w:vAlign w:val="center"/>
          </w:tcPr>
          <w:p w:rsidR="008313BB" w:rsidRPr="008313BB" w:rsidRDefault="008313BB" w:rsidP="006F5D6E">
            <w:pPr>
              <w:spacing w:line="240" w:lineRule="auto"/>
              <w:jc w:val="both"/>
              <w:rPr>
                <w:rFonts w:ascii="Times New Roman" w:hAnsi="Times New Roman" w:cs="Times New Roman"/>
                <w:b/>
                <w:sz w:val="24"/>
                <w:szCs w:val="24"/>
              </w:rPr>
            </w:pPr>
            <w:r w:rsidRPr="008313BB">
              <w:rPr>
                <w:rFonts w:ascii="Times New Roman" w:hAnsi="Times New Roman" w:cs="Times New Roman"/>
                <w:b/>
                <w:sz w:val="24"/>
                <w:szCs w:val="24"/>
              </w:rPr>
              <w:t>Nezistené</w:t>
            </w:r>
          </w:p>
        </w:tc>
        <w:tc>
          <w:tcPr>
            <w:tcW w:w="1763" w:type="dxa"/>
            <w:vAlign w:val="center"/>
          </w:tcPr>
          <w:p w:rsidR="008313BB" w:rsidRPr="006F6AFC" w:rsidRDefault="008313BB" w:rsidP="006F5D6E">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8313BB" w:rsidRDefault="003B529B" w:rsidP="00E73279">
      <w:pPr>
        <w:spacing w:line="240" w:lineRule="auto"/>
        <w:rPr>
          <w:rFonts w:ascii="Times New Roman" w:hAnsi="Times New Roman" w:cs="Times New Roman"/>
          <w:sz w:val="24"/>
        </w:rPr>
      </w:pPr>
      <w:r>
        <w:rPr>
          <w:rFonts w:ascii="Times New Roman" w:hAnsi="Times New Roman" w:cs="Times New Roman"/>
          <w:sz w:val="24"/>
        </w:rPr>
        <w:t>Zdroj: Štatistický úrad SR (Sčítanie ľudu 2011)</w:t>
      </w:r>
    </w:p>
    <w:p w:rsidR="003B529B" w:rsidRDefault="003B529B" w:rsidP="00E73279">
      <w:pPr>
        <w:spacing w:line="240" w:lineRule="auto"/>
        <w:rPr>
          <w:rFonts w:ascii="Times New Roman" w:hAnsi="Times New Roman" w:cs="Times New Roman"/>
          <w:sz w:val="24"/>
        </w:rPr>
      </w:pPr>
      <w:r>
        <w:rPr>
          <w:rFonts w:ascii="Times New Roman" w:hAnsi="Times New Roman" w:cs="Times New Roman"/>
          <w:sz w:val="24"/>
        </w:rPr>
        <w:t>Na základe výsledkov zo Sčítania ľudu 2011 možno skonštatovať, že v roku 2011 celkový domový fond v obci Jatov tvoril 292 domov, z čoho 86 % (251) bolo trvale obývaných a 41 neobývaných. Z celkového počtu obývaných domov až 96 % (242) tvorili rodinné domy. V obci sa nachádza  bytových domov.</w:t>
      </w:r>
    </w:p>
    <w:p w:rsidR="00B50F80" w:rsidRDefault="00B50F80" w:rsidP="00E73279">
      <w:pPr>
        <w:spacing w:line="240" w:lineRule="auto"/>
        <w:rPr>
          <w:rFonts w:ascii="Times New Roman" w:hAnsi="Times New Roman" w:cs="Times New Roman"/>
          <w:sz w:val="24"/>
        </w:rPr>
      </w:pPr>
      <w:r>
        <w:rPr>
          <w:rFonts w:ascii="Times New Roman" w:hAnsi="Times New Roman" w:cs="Times New Roman"/>
          <w:sz w:val="24"/>
        </w:rPr>
        <w:t>Tabuľka – Veková štruktúra domového a bytového fondu</w:t>
      </w:r>
    </w:p>
    <w:tbl>
      <w:tblPr>
        <w:tblStyle w:val="Mriekatabuky"/>
        <w:tblW w:w="0" w:type="auto"/>
        <w:tblLook w:val="04A0" w:firstRow="1" w:lastRow="0" w:firstColumn="1" w:lastColumn="0" w:noHBand="0" w:noVBand="1"/>
      </w:tblPr>
      <w:tblGrid>
        <w:gridCol w:w="3070"/>
        <w:gridCol w:w="3071"/>
      </w:tblGrid>
      <w:tr w:rsidR="00B50F80" w:rsidRPr="00D92A4A" w:rsidTr="006F5D6E">
        <w:tc>
          <w:tcPr>
            <w:tcW w:w="3070" w:type="dxa"/>
          </w:tcPr>
          <w:p w:rsidR="00B50F80" w:rsidRPr="00D92A4A" w:rsidRDefault="00B50F80" w:rsidP="006F5D6E">
            <w:pPr>
              <w:jc w:val="both"/>
              <w:rPr>
                <w:rFonts w:ascii="Times New Roman" w:hAnsi="Times New Roman" w:cs="Times New Roman"/>
                <w:b/>
                <w:sz w:val="24"/>
              </w:rPr>
            </w:pPr>
            <w:r w:rsidRPr="00D92A4A">
              <w:rPr>
                <w:rFonts w:ascii="Times New Roman" w:hAnsi="Times New Roman" w:cs="Times New Roman"/>
                <w:b/>
                <w:sz w:val="24"/>
              </w:rPr>
              <w:t>Obdobie výstavby</w:t>
            </w:r>
          </w:p>
        </w:tc>
        <w:tc>
          <w:tcPr>
            <w:tcW w:w="3071" w:type="dxa"/>
          </w:tcPr>
          <w:p w:rsidR="00B50F80" w:rsidRPr="00D92A4A" w:rsidRDefault="00B50F80" w:rsidP="006F5D6E">
            <w:pPr>
              <w:jc w:val="both"/>
              <w:rPr>
                <w:rFonts w:ascii="Times New Roman" w:hAnsi="Times New Roman" w:cs="Times New Roman"/>
                <w:b/>
                <w:sz w:val="24"/>
              </w:rPr>
            </w:pPr>
            <w:r w:rsidRPr="00D92A4A">
              <w:rPr>
                <w:rFonts w:ascii="Times New Roman" w:hAnsi="Times New Roman" w:cs="Times New Roman"/>
                <w:b/>
                <w:sz w:val="24"/>
              </w:rPr>
              <w:t xml:space="preserve">Rodinné </w:t>
            </w:r>
            <w:r>
              <w:rPr>
                <w:rFonts w:ascii="Times New Roman" w:hAnsi="Times New Roman" w:cs="Times New Roman"/>
                <w:b/>
                <w:sz w:val="24"/>
              </w:rPr>
              <w:t xml:space="preserve">a bytové </w:t>
            </w:r>
            <w:r w:rsidRPr="00D92A4A">
              <w:rPr>
                <w:rFonts w:ascii="Times New Roman" w:hAnsi="Times New Roman" w:cs="Times New Roman"/>
                <w:b/>
                <w:sz w:val="24"/>
              </w:rPr>
              <w:t>domy</w:t>
            </w:r>
          </w:p>
        </w:tc>
      </w:tr>
      <w:tr w:rsidR="00B50F80" w:rsidTr="006F5D6E">
        <w:tc>
          <w:tcPr>
            <w:tcW w:w="3070" w:type="dxa"/>
          </w:tcPr>
          <w:p w:rsidR="00B50F80" w:rsidRPr="00D92A4A" w:rsidRDefault="00B50F80" w:rsidP="006F5D6E">
            <w:pPr>
              <w:jc w:val="both"/>
              <w:rPr>
                <w:rFonts w:ascii="Times New Roman" w:hAnsi="Times New Roman" w:cs="Times New Roman"/>
                <w:b/>
                <w:sz w:val="24"/>
              </w:rPr>
            </w:pPr>
            <w:r w:rsidRPr="00D92A4A">
              <w:rPr>
                <w:rFonts w:ascii="Times New Roman" w:hAnsi="Times New Roman" w:cs="Times New Roman"/>
                <w:b/>
                <w:sz w:val="24"/>
              </w:rPr>
              <w:t>Do roku 1945</w:t>
            </w:r>
          </w:p>
        </w:tc>
        <w:tc>
          <w:tcPr>
            <w:tcW w:w="3071" w:type="dxa"/>
          </w:tcPr>
          <w:p w:rsidR="00B50F80" w:rsidRDefault="00B50F80" w:rsidP="006F5D6E">
            <w:pPr>
              <w:jc w:val="both"/>
              <w:rPr>
                <w:rFonts w:ascii="Times New Roman" w:hAnsi="Times New Roman" w:cs="Times New Roman"/>
                <w:sz w:val="24"/>
              </w:rPr>
            </w:pPr>
            <w:r>
              <w:rPr>
                <w:rFonts w:ascii="Times New Roman" w:hAnsi="Times New Roman" w:cs="Times New Roman"/>
                <w:sz w:val="24"/>
              </w:rPr>
              <w:t>31</w:t>
            </w:r>
          </w:p>
        </w:tc>
      </w:tr>
      <w:tr w:rsidR="00B50F80" w:rsidTr="006F5D6E">
        <w:tc>
          <w:tcPr>
            <w:tcW w:w="3070" w:type="dxa"/>
          </w:tcPr>
          <w:p w:rsidR="00B50F80" w:rsidRPr="00D92A4A" w:rsidRDefault="00B50F80" w:rsidP="006F5D6E">
            <w:pPr>
              <w:jc w:val="both"/>
              <w:rPr>
                <w:rFonts w:ascii="Times New Roman" w:hAnsi="Times New Roman" w:cs="Times New Roman"/>
                <w:b/>
                <w:sz w:val="24"/>
              </w:rPr>
            </w:pPr>
            <w:r>
              <w:rPr>
                <w:rFonts w:ascii="Times New Roman" w:hAnsi="Times New Roman" w:cs="Times New Roman"/>
                <w:b/>
                <w:sz w:val="24"/>
              </w:rPr>
              <w:t>1946-1990</w:t>
            </w:r>
          </w:p>
        </w:tc>
        <w:tc>
          <w:tcPr>
            <w:tcW w:w="3071" w:type="dxa"/>
          </w:tcPr>
          <w:p w:rsidR="00B50F80" w:rsidRDefault="00B50F80" w:rsidP="006F5D6E">
            <w:pPr>
              <w:jc w:val="both"/>
              <w:rPr>
                <w:rFonts w:ascii="Times New Roman" w:hAnsi="Times New Roman" w:cs="Times New Roman"/>
                <w:sz w:val="24"/>
              </w:rPr>
            </w:pPr>
            <w:r>
              <w:rPr>
                <w:rFonts w:ascii="Times New Roman" w:hAnsi="Times New Roman" w:cs="Times New Roman"/>
                <w:sz w:val="24"/>
              </w:rPr>
              <w:t>190</w:t>
            </w:r>
          </w:p>
        </w:tc>
      </w:tr>
      <w:tr w:rsidR="00B50F80" w:rsidTr="006F5D6E">
        <w:tc>
          <w:tcPr>
            <w:tcW w:w="3070" w:type="dxa"/>
          </w:tcPr>
          <w:p w:rsidR="00B50F80" w:rsidRPr="00D92A4A" w:rsidRDefault="00B50F80" w:rsidP="006F5D6E">
            <w:pPr>
              <w:jc w:val="both"/>
              <w:rPr>
                <w:rFonts w:ascii="Times New Roman" w:hAnsi="Times New Roman" w:cs="Times New Roman"/>
                <w:b/>
                <w:sz w:val="24"/>
              </w:rPr>
            </w:pPr>
            <w:r>
              <w:rPr>
                <w:rFonts w:ascii="Times New Roman" w:hAnsi="Times New Roman" w:cs="Times New Roman"/>
                <w:b/>
                <w:sz w:val="24"/>
              </w:rPr>
              <w:t>1991-2000</w:t>
            </w:r>
          </w:p>
        </w:tc>
        <w:tc>
          <w:tcPr>
            <w:tcW w:w="3071" w:type="dxa"/>
          </w:tcPr>
          <w:p w:rsidR="00B50F80" w:rsidRDefault="00B50F80" w:rsidP="006F5D6E">
            <w:pPr>
              <w:jc w:val="both"/>
              <w:rPr>
                <w:rFonts w:ascii="Times New Roman" w:hAnsi="Times New Roman" w:cs="Times New Roman"/>
                <w:sz w:val="24"/>
              </w:rPr>
            </w:pPr>
            <w:r>
              <w:rPr>
                <w:rFonts w:ascii="Times New Roman" w:hAnsi="Times New Roman" w:cs="Times New Roman"/>
                <w:sz w:val="24"/>
              </w:rPr>
              <w:t>2</w:t>
            </w:r>
          </w:p>
        </w:tc>
      </w:tr>
      <w:tr w:rsidR="00B50F80" w:rsidTr="006F5D6E">
        <w:tc>
          <w:tcPr>
            <w:tcW w:w="3070" w:type="dxa"/>
          </w:tcPr>
          <w:p w:rsidR="00B50F80" w:rsidRPr="00D92A4A" w:rsidRDefault="00B50F80" w:rsidP="006F5D6E">
            <w:pPr>
              <w:jc w:val="both"/>
              <w:rPr>
                <w:rFonts w:ascii="Times New Roman" w:hAnsi="Times New Roman" w:cs="Times New Roman"/>
                <w:b/>
                <w:sz w:val="24"/>
              </w:rPr>
            </w:pPr>
            <w:r>
              <w:rPr>
                <w:rFonts w:ascii="Times New Roman" w:hAnsi="Times New Roman" w:cs="Times New Roman"/>
                <w:b/>
                <w:sz w:val="24"/>
              </w:rPr>
              <w:t>2000 a neskôr</w:t>
            </w:r>
          </w:p>
        </w:tc>
        <w:tc>
          <w:tcPr>
            <w:tcW w:w="3071" w:type="dxa"/>
          </w:tcPr>
          <w:p w:rsidR="00B50F80" w:rsidRDefault="00B50F80" w:rsidP="006F5D6E">
            <w:pPr>
              <w:jc w:val="both"/>
              <w:rPr>
                <w:rFonts w:ascii="Times New Roman" w:hAnsi="Times New Roman" w:cs="Times New Roman"/>
                <w:sz w:val="24"/>
              </w:rPr>
            </w:pPr>
            <w:r>
              <w:rPr>
                <w:rFonts w:ascii="Times New Roman" w:hAnsi="Times New Roman" w:cs="Times New Roman"/>
                <w:sz w:val="24"/>
              </w:rPr>
              <w:t>7</w:t>
            </w:r>
          </w:p>
        </w:tc>
      </w:tr>
    </w:tbl>
    <w:p w:rsidR="003B529B" w:rsidRDefault="00B50F80" w:rsidP="00E73279">
      <w:pPr>
        <w:spacing w:line="240" w:lineRule="auto"/>
        <w:rPr>
          <w:rFonts w:ascii="Times New Roman" w:hAnsi="Times New Roman" w:cs="Times New Roman"/>
          <w:sz w:val="24"/>
        </w:rPr>
      </w:pPr>
      <w:r>
        <w:rPr>
          <w:rFonts w:ascii="Times New Roman" w:hAnsi="Times New Roman" w:cs="Times New Roman"/>
          <w:sz w:val="24"/>
        </w:rPr>
        <w:t>Zdroj: Štatistický úrad SR (Sčítanie ľudu 2011)</w:t>
      </w:r>
    </w:p>
    <w:p w:rsidR="00B50F80" w:rsidRDefault="00B50F80" w:rsidP="00E73279">
      <w:pPr>
        <w:spacing w:line="240" w:lineRule="auto"/>
        <w:rPr>
          <w:rFonts w:ascii="Times New Roman" w:hAnsi="Times New Roman" w:cs="Times New Roman"/>
          <w:sz w:val="24"/>
        </w:rPr>
      </w:pPr>
      <w:r>
        <w:rPr>
          <w:rFonts w:ascii="Times New Roman" w:hAnsi="Times New Roman" w:cs="Times New Roman"/>
          <w:sz w:val="24"/>
        </w:rPr>
        <w:t>Graf – Veková štruktúra domového a bytového fondu</w:t>
      </w:r>
    </w:p>
    <w:p w:rsidR="00B50F80" w:rsidRDefault="00B50F80" w:rsidP="00E73279">
      <w:pPr>
        <w:spacing w:line="240" w:lineRule="auto"/>
        <w:rPr>
          <w:rFonts w:ascii="Times New Roman" w:hAnsi="Times New Roman" w:cs="Times New Roman"/>
          <w:sz w:val="24"/>
        </w:rPr>
      </w:pPr>
      <w:r w:rsidRPr="00B50F80">
        <w:rPr>
          <w:rFonts w:ascii="Times New Roman" w:hAnsi="Times New Roman" w:cs="Times New Roman"/>
          <w:noProof/>
          <w:sz w:val="24"/>
          <w:lang w:eastAsia="sk-SK"/>
        </w:rPr>
        <w:drawing>
          <wp:inline distT="0" distB="0" distL="0" distR="0">
            <wp:extent cx="5345906" cy="2738437"/>
            <wp:effectExtent l="19050" t="0" r="26194" b="4763"/>
            <wp:docPr id="1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0F80" w:rsidRDefault="00B50F80" w:rsidP="00E73279">
      <w:pPr>
        <w:spacing w:line="240" w:lineRule="auto"/>
        <w:rPr>
          <w:rFonts w:ascii="Times New Roman" w:hAnsi="Times New Roman" w:cs="Times New Roman"/>
          <w:sz w:val="24"/>
        </w:rPr>
      </w:pPr>
      <w:r>
        <w:rPr>
          <w:rFonts w:ascii="Times New Roman" w:hAnsi="Times New Roman" w:cs="Times New Roman"/>
          <w:sz w:val="24"/>
        </w:rPr>
        <w:t>Zdroj: Tabuľka</w:t>
      </w:r>
    </w:p>
    <w:p w:rsidR="00B50F80" w:rsidRDefault="00B50F80" w:rsidP="00E73279">
      <w:pPr>
        <w:spacing w:line="240" w:lineRule="auto"/>
        <w:rPr>
          <w:rFonts w:ascii="Times New Roman" w:hAnsi="Times New Roman" w:cs="Times New Roman"/>
          <w:sz w:val="24"/>
        </w:rPr>
      </w:pPr>
      <w:r>
        <w:rPr>
          <w:rFonts w:ascii="Times New Roman" w:hAnsi="Times New Roman" w:cs="Times New Roman"/>
          <w:sz w:val="24"/>
        </w:rPr>
        <w:t>Z celkového počtu domov až 82,6 % bolo postavených v rokoch 1946-1990. Najmenej domov bolo postavených v období 1991-2000.</w:t>
      </w:r>
    </w:p>
    <w:p w:rsidR="00B50F80" w:rsidRPr="003B529B" w:rsidRDefault="00B50F80" w:rsidP="00E73279">
      <w:pPr>
        <w:spacing w:line="240" w:lineRule="auto"/>
        <w:rPr>
          <w:rFonts w:ascii="Times New Roman" w:hAnsi="Times New Roman" w:cs="Times New Roman"/>
          <w:sz w:val="24"/>
        </w:rPr>
      </w:pPr>
    </w:p>
    <w:p w:rsidR="002B4C4B" w:rsidRPr="006244C3" w:rsidRDefault="002B4C4B" w:rsidP="00C119AA">
      <w:pPr>
        <w:pStyle w:val="Odsekzoznamu"/>
        <w:numPr>
          <w:ilvl w:val="3"/>
          <w:numId w:val="3"/>
        </w:numPr>
        <w:spacing w:line="240" w:lineRule="auto"/>
        <w:jc w:val="both"/>
        <w:rPr>
          <w:rFonts w:ascii="Times New Roman" w:hAnsi="Times New Roman" w:cs="Times New Roman"/>
          <w:b/>
          <w:i/>
          <w:sz w:val="24"/>
          <w:highlight w:val="yellow"/>
        </w:rPr>
      </w:pPr>
      <w:r w:rsidRPr="006244C3">
        <w:rPr>
          <w:rFonts w:ascii="Times New Roman" w:hAnsi="Times New Roman" w:cs="Times New Roman"/>
          <w:b/>
          <w:i/>
          <w:sz w:val="24"/>
          <w:highlight w:val="yellow"/>
        </w:rPr>
        <w:t>Majetok obce</w:t>
      </w:r>
    </w:p>
    <w:p w:rsidR="002B4C4B" w:rsidRPr="00E73279" w:rsidRDefault="002B4C4B" w:rsidP="00E73279">
      <w:pPr>
        <w:spacing w:line="240" w:lineRule="auto"/>
        <w:jc w:val="both"/>
        <w:rPr>
          <w:rFonts w:ascii="Times New Roman" w:hAnsi="Times New Roman" w:cs="Times New Roman"/>
          <w:b/>
          <w:i/>
          <w:sz w:val="24"/>
        </w:rPr>
      </w:pPr>
    </w:p>
    <w:p w:rsidR="002B4C4B" w:rsidRPr="00E73279" w:rsidRDefault="002B4C4B" w:rsidP="00E73279">
      <w:pPr>
        <w:spacing w:line="240" w:lineRule="auto"/>
        <w:rPr>
          <w:rFonts w:ascii="Times New Roman" w:hAnsi="Times New Roman" w:cs="Times New Roman"/>
          <w:b/>
          <w:i/>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lastRenderedPageBreak/>
        <w:t>Investičné aktivity za posledných 5 rokov</w:t>
      </w:r>
    </w:p>
    <w:p w:rsidR="002B4C4B" w:rsidRDefault="00551D71" w:rsidP="00E73279">
      <w:pPr>
        <w:spacing w:line="240" w:lineRule="auto"/>
        <w:rPr>
          <w:rFonts w:ascii="Times New Roman" w:hAnsi="Times New Roman" w:cs="Times New Roman"/>
          <w:sz w:val="24"/>
        </w:rPr>
      </w:pPr>
      <w:r>
        <w:rPr>
          <w:rFonts w:ascii="Times New Roman" w:hAnsi="Times New Roman" w:cs="Times New Roman"/>
          <w:sz w:val="24"/>
        </w:rPr>
        <w:t>Za posledných 5 rokov obec investovala do nasledovných aktivít:</w:t>
      </w:r>
    </w:p>
    <w:p w:rsidR="00551D71" w:rsidRDefault="00551D71" w:rsidP="00E73279">
      <w:pPr>
        <w:spacing w:line="240" w:lineRule="auto"/>
        <w:rPr>
          <w:rFonts w:ascii="Times New Roman" w:hAnsi="Times New Roman" w:cs="Times New Roman"/>
          <w:sz w:val="24"/>
        </w:rPr>
      </w:pPr>
      <w:r>
        <w:rPr>
          <w:rFonts w:ascii="Times New Roman" w:hAnsi="Times New Roman" w:cs="Times New Roman"/>
          <w:sz w:val="24"/>
        </w:rPr>
        <w:t>Tabuľka – Investičné aktivity za posledných 5 rokov</w:t>
      </w:r>
    </w:p>
    <w:tbl>
      <w:tblPr>
        <w:tblStyle w:val="Mriekatabuky"/>
        <w:tblW w:w="0" w:type="auto"/>
        <w:tblLook w:val="04A0" w:firstRow="1" w:lastRow="0" w:firstColumn="1" w:lastColumn="0" w:noHBand="0" w:noVBand="1"/>
      </w:tblPr>
      <w:tblGrid>
        <w:gridCol w:w="3020"/>
        <w:gridCol w:w="3022"/>
        <w:gridCol w:w="3020"/>
      </w:tblGrid>
      <w:tr w:rsidR="00551D71" w:rsidRPr="00551D71" w:rsidTr="00551D71">
        <w:tc>
          <w:tcPr>
            <w:tcW w:w="3070" w:type="dxa"/>
          </w:tcPr>
          <w:p w:rsidR="00551D71" w:rsidRPr="00551D71" w:rsidRDefault="00551D71" w:rsidP="00E73279">
            <w:pPr>
              <w:rPr>
                <w:rFonts w:ascii="Times New Roman" w:hAnsi="Times New Roman" w:cs="Times New Roman"/>
                <w:b/>
                <w:sz w:val="24"/>
              </w:rPr>
            </w:pPr>
            <w:r w:rsidRPr="00551D71">
              <w:rPr>
                <w:rFonts w:ascii="Times New Roman" w:hAnsi="Times New Roman" w:cs="Times New Roman"/>
                <w:b/>
                <w:sz w:val="24"/>
              </w:rPr>
              <w:t>Názov investície</w:t>
            </w:r>
          </w:p>
        </w:tc>
        <w:tc>
          <w:tcPr>
            <w:tcW w:w="3071" w:type="dxa"/>
          </w:tcPr>
          <w:p w:rsidR="00551D71" w:rsidRPr="00551D71" w:rsidRDefault="00551D71" w:rsidP="00E73279">
            <w:pPr>
              <w:rPr>
                <w:rFonts w:ascii="Times New Roman" w:hAnsi="Times New Roman" w:cs="Times New Roman"/>
                <w:b/>
                <w:sz w:val="24"/>
              </w:rPr>
            </w:pPr>
            <w:r w:rsidRPr="00551D71">
              <w:rPr>
                <w:rFonts w:ascii="Times New Roman" w:hAnsi="Times New Roman" w:cs="Times New Roman"/>
                <w:b/>
                <w:sz w:val="24"/>
              </w:rPr>
              <w:t>Obdobie realizácie</w:t>
            </w:r>
          </w:p>
        </w:tc>
        <w:tc>
          <w:tcPr>
            <w:tcW w:w="3071" w:type="dxa"/>
          </w:tcPr>
          <w:p w:rsidR="00551D71" w:rsidRPr="00551D71" w:rsidRDefault="00551D71" w:rsidP="00E73279">
            <w:pPr>
              <w:rPr>
                <w:rFonts w:ascii="Times New Roman" w:hAnsi="Times New Roman" w:cs="Times New Roman"/>
                <w:b/>
                <w:sz w:val="24"/>
              </w:rPr>
            </w:pPr>
            <w:r w:rsidRPr="00551D71">
              <w:rPr>
                <w:rFonts w:ascii="Times New Roman" w:hAnsi="Times New Roman" w:cs="Times New Roman"/>
                <w:b/>
                <w:sz w:val="24"/>
              </w:rPr>
              <w:t>Hodnota</w:t>
            </w:r>
          </w:p>
        </w:tc>
      </w:tr>
      <w:tr w:rsidR="00551D71" w:rsidTr="00551D71">
        <w:tc>
          <w:tcPr>
            <w:tcW w:w="3070" w:type="dxa"/>
          </w:tcPr>
          <w:p w:rsidR="00551D71" w:rsidRDefault="00551D71" w:rsidP="00E73279">
            <w:pPr>
              <w:rPr>
                <w:rFonts w:ascii="Times New Roman" w:hAnsi="Times New Roman" w:cs="Times New Roman"/>
                <w:sz w:val="24"/>
              </w:rPr>
            </w:pPr>
            <w:r>
              <w:rPr>
                <w:rFonts w:ascii="Times New Roman" w:hAnsi="Times New Roman" w:cs="Times New Roman"/>
                <w:sz w:val="24"/>
              </w:rPr>
              <w:t>Oprava budovy OFK Jatov</w:t>
            </w:r>
          </w:p>
        </w:tc>
        <w:tc>
          <w:tcPr>
            <w:tcW w:w="3071" w:type="dxa"/>
          </w:tcPr>
          <w:p w:rsidR="00551D71" w:rsidRDefault="00551D71" w:rsidP="00E73279">
            <w:pPr>
              <w:rPr>
                <w:rFonts w:ascii="Times New Roman" w:hAnsi="Times New Roman" w:cs="Times New Roman"/>
                <w:sz w:val="24"/>
              </w:rPr>
            </w:pPr>
            <w:r>
              <w:rPr>
                <w:rFonts w:ascii="Times New Roman" w:hAnsi="Times New Roman" w:cs="Times New Roman"/>
                <w:sz w:val="24"/>
              </w:rPr>
              <w:t>2014</w:t>
            </w:r>
          </w:p>
        </w:tc>
        <w:tc>
          <w:tcPr>
            <w:tcW w:w="3071" w:type="dxa"/>
          </w:tcPr>
          <w:p w:rsidR="00551D71" w:rsidRDefault="00551D71" w:rsidP="00E73279">
            <w:pPr>
              <w:rPr>
                <w:rFonts w:ascii="Times New Roman" w:hAnsi="Times New Roman" w:cs="Times New Roman"/>
                <w:sz w:val="24"/>
              </w:rPr>
            </w:pPr>
            <w:r>
              <w:rPr>
                <w:rFonts w:ascii="Times New Roman" w:hAnsi="Times New Roman" w:cs="Times New Roman"/>
                <w:sz w:val="24"/>
              </w:rPr>
              <w:t>6 203,60 €</w:t>
            </w:r>
          </w:p>
        </w:tc>
      </w:tr>
    </w:tbl>
    <w:p w:rsidR="00551D71" w:rsidRDefault="00551D71" w:rsidP="00E73279">
      <w:pPr>
        <w:spacing w:line="240" w:lineRule="auto"/>
        <w:rPr>
          <w:rFonts w:ascii="Times New Roman" w:hAnsi="Times New Roman" w:cs="Times New Roman"/>
          <w:sz w:val="24"/>
        </w:rPr>
      </w:pPr>
      <w:r>
        <w:rPr>
          <w:rFonts w:ascii="Times New Roman" w:hAnsi="Times New Roman" w:cs="Times New Roman"/>
          <w:sz w:val="24"/>
        </w:rPr>
        <w:t>Zdroj: Obecný úrad Jatov</w:t>
      </w:r>
    </w:p>
    <w:p w:rsidR="00551D71" w:rsidRPr="00551D71" w:rsidRDefault="00551D71" w:rsidP="00E73279">
      <w:pPr>
        <w:spacing w:line="240" w:lineRule="auto"/>
        <w:rPr>
          <w:rFonts w:ascii="Times New Roman" w:hAnsi="Times New Roman" w:cs="Times New Roman"/>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Plánované investičné aktivity</w:t>
      </w:r>
    </w:p>
    <w:p w:rsidR="002B4C4B" w:rsidRDefault="006244C3" w:rsidP="00E73279">
      <w:pPr>
        <w:spacing w:line="240" w:lineRule="auto"/>
        <w:jc w:val="both"/>
        <w:rPr>
          <w:rFonts w:ascii="Times New Roman" w:eastAsia="Calibri" w:hAnsi="Times New Roman" w:cs="Times New Roman"/>
          <w:iCs/>
          <w:sz w:val="24"/>
        </w:rPr>
      </w:pPr>
      <w:r>
        <w:rPr>
          <w:rFonts w:ascii="Times New Roman" w:eastAsia="Calibri" w:hAnsi="Times New Roman" w:cs="Times New Roman"/>
          <w:iCs/>
          <w:sz w:val="24"/>
        </w:rPr>
        <w:t>Obec Jatov má v pláne uskutočniť nasledovné investičné aktivity:</w:t>
      </w:r>
    </w:p>
    <w:p w:rsidR="006244C3" w:rsidRDefault="006244C3" w:rsidP="00E73279">
      <w:pPr>
        <w:spacing w:line="240" w:lineRule="auto"/>
        <w:jc w:val="both"/>
        <w:rPr>
          <w:rFonts w:ascii="Times New Roman" w:eastAsia="Calibri" w:hAnsi="Times New Roman" w:cs="Times New Roman"/>
          <w:iCs/>
          <w:sz w:val="24"/>
        </w:rPr>
      </w:pPr>
      <w:r>
        <w:rPr>
          <w:rFonts w:ascii="Times New Roman" w:eastAsia="Calibri" w:hAnsi="Times New Roman" w:cs="Times New Roman"/>
          <w:iCs/>
          <w:sz w:val="24"/>
        </w:rPr>
        <w:t>Tabuľka – Plánované investičné aktivity</w:t>
      </w:r>
    </w:p>
    <w:tbl>
      <w:tblPr>
        <w:tblStyle w:val="Mriekatabuky"/>
        <w:tblW w:w="0" w:type="auto"/>
        <w:tblLook w:val="04A0" w:firstRow="1" w:lastRow="0" w:firstColumn="1" w:lastColumn="0" w:noHBand="0" w:noVBand="1"/>
      </w:tblPr>
      <w:tblGrid>
        <w:gridCol w:w="3025"/>
        <w:gridCol w:w="3017"/>
        <w:gridCol w:w="3020"/>
      </w:tblGrid>
      <w:tr w:rsidR="006244C3" w:rsidRPr="00551D71" w:rsidTr="006244C3">
        <w:tc>
          <w:tcPr>
            <w:tcW w:w="3070" w:type="dxa"/>
          </w:tcPr>
          <w:p w:rsidR="006244C3" w:rsidRPr="00551D71" w:rsidRDefault="006244C3" w:rsidP="006244C3">
            <w:pPr>
              <w:rPr>
                <w:rFonts w:ascii="Times New Roman" w:hAnsi="Times New Roman" w:cs="Times New Roman"/>
                <w:b/>
                <w:sz w:val="24"/>
              </w:rPr>
            </w:pPr>
            <w:r w:rsidRPr="00551D71">
              <w:rPr>
                <w:rFonts w:ascii="Times New Roman" w:hAnsi="Times New Roman" w:cs="Times New Roman"/>
                <w:b/>
                <w:sz w:val="24"/>
              </w:rPr>
              <w:t>Názov investície</w:t>
            </w:r>
          </w:p>
        </w:tc>
        <w:tc>
          <w:tcPr>
            <w:tcW w:w="3071" w:type="dxa"/>
          </w:tcPr>
          <w:p w:rsidR="006244C3" w:rsidRPr="00551D71" w:rsidRDefault="006244C3" w:rsidP="006244C3">
            <w:pPr>
              <w:rPr>
                <w:rFonts w:ascii="Times New Roman" w:hAnsi="Times New Roman" w:cs="Times New Roman"/>
                <w:b/>
                <w:sz w:val="24"/>
              </w:rPr>
            </w:pPr>
            <w:r w:rsidRPr="00551D71">
              <w:rPr>
                <w:rFonts w:ascii="Times New Roman" w:hAnsi="Times New Roman" w:cs="Times New Roman"/>
                <w:b/>
                <w:sz w:val="24"/>
              </w:rPr>
              <w:t>Obdobie realizácie</w:t>
            </w:r>
          </w:p>
        </w:tc>
        <w:tc>
          <w:tcPr>
            <w:tcW w:w="3071" w:type="dxa"/>
          </w:tcPr>
          <w:p w:rsidR="006244C3" w:rsidRPr="00551D71" w:rsidRDefault="006244C3" w:rsidP="006244C3">
            <w:pPr>
              <w:rPr>
                <w:rFonts w:ascii="Times New Roman" w:hAnsi="Times New Roman" w:cs="Times New Roman"/>
                <w:b/>
                <w:sz w:val="24"/>
              </w:rPr>
            </w:pPr>
            <w:r w:rsidRPr="00551D71">
              <w:rPr>
                <w:rFonts w:ascii="Times New Roman" w:hAnsi="Times New Roman" w:cs="Times New Roman"/>
                <w:b/>
                <w:sz w:val="24"/>
              </w:rPr>
              <w:t>Hodnota</w:t>
            </w:r>
          </w:p>
        </w:tc>
      </w:tr>
      <w:tr w:rsidR="006244C3" w:rsidTr="006244C3">
        <w:tc>
          <w:tcPr>
            <w:tcW w:w="3070" w:type="dxa"/>
          </w:tcPr>
          <w:p w:rsidR="006244C3" w:rsidRDefault="006244C3" w:rsidP="006244C3">
            <w:pPr>
              <w:rPr>
                <w:rFonts w:ascii="Times New Roman" w:hAnsi="Times New Roman" w:cs="Times New Roman"/>
                <w:sz w:val="24"/>
              </w:rPr>
            </w:pPr>
            <w:r>
              <w:rPr>
                <w:rFonts w:ascii="Times New Roman" w:hAnsi="Times New Roman" w:cs="Times New Roman"/>
                <w:sz w:val="24"/>
              </w:rPr>
              <w:t>Modernizácia materskej školy</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2015-2016</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20 660,87  €</w:t>
            </w:r>
          </w:p>
        </w:tc>
      </w:tr>
      <w:tr w:rsidR="006244C3" w:rsidTr="006244C3">
        <w:tc>
          <w:tcPr>
            <w:tcW w:w="3070" w:type="dxa"/>
          </w:tcPr>
          <w:p w:rsidR="006244C3" w:rsidRDefault="006244C3" w:rsidP="006244C3">
            <w:pPr>
              <w:rPr>
                <w:rFonts w:ascii="Times New Roman" w:hAnsi="Times New Roman" w:cs="Times New Roman"/>
                <w:sz w:val="24"/>
              </w:rPr>
            </w:pPr>
            <w:r>
              <w:rPr>
                <w:rFonts w:ascii="Times New Roman" w:hAnsi="Times New Roman" w:cs="Times New Roman"/>
                <w:sz w:val="24"/>
              </w:rPr>
              <w:t>Zateplenie fasády KD – II. etapa</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2016-2017</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40 565,18  €</w:t>
            </w:r>
          </w:p>
        </w:tc>
      </w:tr>
      <w:tr w:rsidR="006244C3" w:rsidTr="006244C3">
        <w:tc>
          <w:tcPr>
            <w:tcW w:w="3070" w:type="dxa"/>
          </w:tcPr>
          <w:p w:rsidR="006244C3" w:rsidRDefault="006244C3" w:rsidP="006244C3">
            <w:pPr>
              <w:rPr>
                <w:rFonts w:ascii="Times New Roman" w:hAnsi="Times New Roman" w:cs="Times New Roman"/>
                <w:sz w:val="24"/>
              </w:rPr>
            </w:pPr>
            <w:r>
              <w:rPr>
                <w:rFonts w:ascii="Times New Roman" w:hAnsi="Times New Roman" w:cs="Times New Roman"/>
                <w:sz w:val="24"/>
              </w:rPr>
              <w:t>Poskytnutie dotácie na obstaranie nájomného bytu na účel sociálneho bývania</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2015-2016</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588 510,-  €</w:t>
            </w:r>
          </w:p>
        </w:tc>
      </w:tr>
      <w:tr w:rsidR="006244C3" w:rsidTr="006244C3">
        <w:tc>
          <w:tcPr>
            <w:tcW w:w="3070" w:type="dxa"/>
          </w:tcPr>
          <w:p w:rsidR="006244C3" w:rsidRDefault="006244C3" w:rsidP="006244C3">
            <w:pPr>
              <w:rPr>
                <w:rFonts w:ascii="Times New Roman" w:hAnsi="Times New Roman" w:cs="Times New Roman"/>
                <w:sz w:val="24"/>
              </w:rPr>
            </w:pPr>
            <w:r>
              <w:rPr>
                <w:rFonts w:ascii="Times New Roman" w:hAnsi="Times New Roman" w:cs="Times New Roman"/>
                <w:sz w:val="24"/>
              </w:rPr>
              <w:t>Vodovod III. etapa</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2012-2016</w:t>
            </w:r>
          </w:p>
        </w:tc>
        <w:tc>
          <w:tcPr>
            <w:tcW w:w="3071" w:type="dxa"/>
          </w:tcPr>
          <w:p w:rsidR="006244C3" w:rsidRDefault="006244C3" w:rsidP="006244C3">
            <w:pPr>
              <w:rPr>
                <w:rFonts w:ascii="Times New Roman" w:hAnsi="Times New Roman" w:cs="Times New Roman"/>
                <w:sz w:val="24"/>
              </w:rPr>
            </w:pPr>
            <w:r>
              <w:rPr>
                <w:rFonts w:ascii="Times New Roman" w:hAnsi="Times New Roman" w:cs="Times New Roman"/>
                <w:sz w:val="24"/>
              </w:rPr>
              <w:t>526 045,55 €</w:t>
            </w:r>
          </w:p>
        </w:tc>
      </w:tr>
    </w:tbl>
    <w:p w:rsidR="006244C3" w:rsidRPr="00E73279" w:rsidRDefault="006244C3" w:rsidP="00E73279">
      <w:pPr>
        <w:spacing w:line="240" w:lineRule="auto"/>
        <w:jc w:val="both"/>
        <w:rPr>
          <w:rFonts w:ascii="Times New Roman" w:eastAsia="Calibri" w:hAnsi="Times New Roman" w:cs="Times New Roman"/>
          <w:iCs/>
          <w:sz w:val="24"/>
        </w:rPr>
      </w:pPr>
      <w:r>
        <w:rPr>
          <w:rFonts w:ascii="Times New Roman" w:eastAsia="Calibri" w:hAnsi="Times New Roman" w:cs="Times New Roman"/>
          <w:iCs/>
          <w:sz w:val="24"/>
        </w:rPr>
        <w:t>Zdroj: Obecný úrad Jatov</w:t>
      </w:r>
    </w:p>
    <w:p w:rsidR="002B4C4B" w:rsidRPr="00E73279" w:rsidRDefault="002B4C4B" w:rsidP="00E73279">
      <w:pPr>
        <w:spacing w:line="240" w:lineRule="auto"/>
        <w:rPr>
          <w:rFonts w:ascii="Times New Roman" w:hAnsi="Times New Roman" w:cs="Times New Roman"/>
          <w:b/>
          <w:i/>
          <w:sz w:val="24"/>
        </w:rPr>
      </w:pPr>
    </w:p>
    <w:p w:rsidR="002B4C4B" w:rsidRPr="00E73279" w:rsidRDefault="002B4C4B" w:rsidP="00C119AA">
      <w:pPr>
        <w:pStyle w:val="Odsekzoznamu"/>
        <w:numPr>
          <w:ilvl w:val="3"/>
          <w:numId w:val="3"/>
        </w:numPr>
        <w:spacing w:line="240" w:lineRule="auto"/>
        <w:jc w:val="both"/>
        <w:rPr>
          <w:rFonts w:ascii="Times New Roman" w:hAnsi="Times New Roman" w:cs="Times New Roman"/>
          <w:b/>
          <w:i/>
          <w:sz w:val="24"/>
        </w:rPr>
      </w:pPr>
      <w:r w:rsidRPr="00E73279">
        <w:rPr>
          <w:rFonts w:ascii="Times New Roman" w:hAnsi="Times New Roman" w:cs="Times New Roman"/>
          <w:b/>
          <w:i/>
          <w:sz w:val="24"/>
        </w:rPr>
        <w:t>Zoznam voľných hospodárskych budov na území obce</w:t>
      </w:r>
    </w:p>
    <w:p w:rsidR="002B4C4B" w:rsidRPr="006244C3" w:rsidRDefault="006244C3" w:rsidP="00E73279">
      <w:pPr>
        <w:spacing w:line="240" w:lineRule="auto"/>
        <w:rPr>
          <w:rFonts w:ascii="Times New Roman" w:hAnsi="Times New Roman" w:cs="Times New Roman"/>
          <w:sz w:val="24"/>
        </w:rPr>
      </w:pPr>
      <w:r>
        <w:rPr>
          <w:rFonts w:ascii="Times New Roman" w:hAnsi="Times New Roman" w:cs="Times New Roman"/>
          <w:sz w:val="24"/>
        </w:rPr>
        <w:t>V obci sa nenachádzajú žiadne voľné hospodárske budovy.</w:t>
      </w:r>
    </w:p>
    <w:p w:rsidR="002B4C4B" w:rsidRPr="00E73279" w:rsidRDefault="002B4C4B" w:rsidP="00E73279">
      <w:pPr>
        <w:spacing w:line="240" w:lineRule="auto"/>
        <w:rPr>
          <w:rFonts w:ascii="Times New Roman" w:hAnsi="Times New Roman" w:cs="Times New Roman"/>
          <w:b/>
          <w:i/>
          <w:sz w:val="24"/>
        </w:rPr>
      </w:pPr>
    </w:p>
    <w:p w:rsidR="002B4C4B" w:rsidRPr="006244C3" w:rsidRDefault="002B4C4B" w:rsidP="00C119AA">
      <w:pPr>
        <w:pStyle w:val="Odsekzoznamu"/>
        <w:numPr>
          <w:ilvl w:val="2"/>
          <w:numId w:val="3"/>
        </w:numPr>
        <w:spacing w:line="240" w:lineRule="auto"/>
        <w:ind w:left="1560" w:hanging="851"/>
        <w:jc w:val="both"/>
        <w:rPr>
          <w:rFonts w:ascii="Times New Roman" w:hAnsi="Times New Roman" w:cs="Times New Roman"/>
          <w:b/>
          <w:sz w:val="28"/>
          <w:highlight w:val="yellow"/>
        </w:rPr>
      </w:pPr>
      <w:r w:rsidRPr="006244C3">
        <w:rPr>
          <w:rFonts w:ascii="Times New Roman" w:hAnsi="Times New Roman" w:cs="Times New Roman"/>
          <w:b/>
          <w:sz w:val="28"/>
          <w:highlight w:val="yellow"/>
        </w:rPr>
        <w:t>Cestovný ruch</w:t>
      </w:r>
    </w:p>
    <w:p w:rsidR="00E73279" w:rsidRPr="00E73279" w:rsidRDefault="00E73279" w:rsidP="00E73279">
      <w:pPr>
        <w:spacing w:line="240" w:lineRule="auto"/>
        <w:jc w:val="both"/>
        <w:rPr>
          <w:rFonts w:ascii="Times New Roman" w:hAnsi="Times New Roman" w:cs="Times New Roman"/>
          <w:sz w:val="24"/>
        </w:rPr>
      </w:pP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Analýza vonkajšieho prostredia</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Vonkajšie prostredie je určované Európskou úniou a legislatívou Slovenskej republiky. V danej oblasti je relevantný najmä Národný plán reforiem Slovenskej republiky platný pre roky 2014 a 2015. Jedná sa o opatrenia, ktorým sa vláda zaviazala plniť v nasledujúcom období Konsolidačné opatrenia 2014 - 2015:</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Zachovanie výnosu a zvýšenie úspešnosti DPH.</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Registračné pokladnice pre lekárov a iné profesie.</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Zrážková daň na finančných a nefinančných benefitoch od farmaceutických spol. pre lekárov.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Ročné zúčtovanie Sociálnej poisťovne.</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Úspory na mzdách (ESO).</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lastRenderedPageBreak/>
        <w:t>Úspory na medzispotrebe (ESO).</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Efektívnosť verejných výdavkov: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Transformácia a zlučovanie podriadených organizácií kapitol štátneho rozpočtu v rámci ESO.</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Zlepšenie finančného riadenia a hospodárenia poskytovateľov zdravotnej starostlivosti.</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Vyrovnané hospodárenie fakultných a univerzitných nemocníc.</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Implementácia prvej fázy e-</w:t>
      </w:r>
      <w:proofErr w:type="spellStart"/>
      <w:r w:rsidRPr="00E73279">
        <w:rPr>
          <w:rFonts w:ascii="Times New Roman" w:hAnsi="Times New Roman" w:cs="Times New Roman"/>
          <w:sz w:val="24"/>
          <w:szCs w:val="24"/>
        </w:rPr>
        <w:t>health</w:t>
      </w:r>
      <w:proofErr w:type="spellEnd"/>
      <w:r w:rsidRPr="00E73279">
        <w:rPr>
          <w:rFonts w:ascii="Times New Roman" w:hAnsi="Times New Roman" w:cs="Times New Roman"/>
          <w:sz w:val="24"/>
          <w:szCs w:val="24"/>
        </w:rPr>
        <w:t xml:space="preserve"> ESO1.</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Výdavkové priority - zvýšenie miezd učiteľom, zamestnancom úradov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práce, kapacít materských škôl.</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Výstavba diaľnic.</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Boj proti daňovým podvodom a analytické kapacity:</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Tretia etapa akčného plánu formou opatrení na zlepšenie výberu daní: najmä centralizácia informácií z mýtneho systému, registra motorových vozidiel a obyvateľstva, prístup k informáciám o účtoch prešetrovaných osôb a firiem.</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 xml:space="preserve">Zavedenie </w:t>
      </w:r>
      <w:proofErr w:type="spellStart"/>
      <w:r w:rsidRPr="00E73279">
        <w:rPr>
          <w:rFonts w:ascii="Times New Roman" w:hAnsi="Times New Roman" w:cs="Times New Roman"/>
          <w:sz w:val="24"/>
          <w:szCs w:val="24"/>
        </w:rPr>
        <w:t>insolvenčného</w:t>
      </w:r>
      <w:proofErr w:type="spellEnd"/>
      <w:r w:rsidRPr="00E73279">
        <w:rPr>
          <w:rFonts w:ascii="Times New Roman" w:hAnsi="Times New Roman" w:cs="Times New Roman"/>
          <w:sz w:val="24"/>
          <w:szCs w:val="24"/>
        </w:rPr>
        <w:t xml:space="preserve"> registra, registra diskvalifikovaných osôb a ratingu daňových subjektov. Okrem toho sa zriadia špecializované senáty na krajských súdoch so zameraním na daňovú oblasť.</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Posilnenie analytických kapacít a vybudovanie analytickej jednotky na Finančnej správe SR.</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Zverejňovanie platenia DPPO (daň z príjmov právnických osôb).</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Služby zamestnanosti, dlhodobá nezamestnanosť:</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proofErr w:type="spellStart"/>
      <w:r w:rsidRPr="00E73279">
        <w:rPr>
          <w:rFonts w:ascii="Times New Roman" w:hAnsi="Times New Roman" w:cs="Times New Roman"/>
          <w:sz w:val="24"/>
          <w:szCs w:val="24"/>
        </w:rPr>
        <w:t>Prioritizovanie</w:t>
      </w:r>
      <w:proofErr w:type="spellEnd"/>
      <w:r w:rsidRPr="00E73279">
        <w:rPr>
          <w:rFonts w:ascii="Times New Roman" w:hAnsi="Times New Roman" w:cs="Times New Roman"/>
          <w:sz w:val="24"/>
          <w:szCs w:val="24"/>
        </w:rPr>
        <w:t xml:space="preserve"> poradenských a individualizovaných verejných služieb zamestnanosti vrátane zvýšenia ich administratívnych kapacít s cieľom zlepšenia prístupu k zamestnaniu pre dlhodobo nezamestnané osoby, pracovníkov s nízkou kvalifikáciou, starších ľudí a žien.</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Poskytovanie kariérneho poradenstva pre dospelých na zlepšenie uplatniteľnosti na trhu práce.</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Centralizácia databázy uchádzačov o zamestnanie a poberateľov sociálnych dávok, kompletizácia a prepojenie s relevantnými inštitúciami.</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Analýza čistej účinnosti a efektívnosti výdavkov jednotlivých opatrení aktívnej politiky trhu práce.</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Posilnenie finančných motivácii zamestnať sa - súbeh dávky v hmotnej núdze a mzdy.</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 xml:space="preserve">Predškolské zariadenia: </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Budovanie nových zariadení služieb starostlivosti o dieťa.</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Rozšírenie kapacít materských škôl, rozšírenie existujúcich foriem výchovy a vzdelávania o prípravné triedy materskej školy a zvýšenie časovej dotácie pre predškolské vzdelávanie.</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Nezamestnanosť mladých:</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Prijatie systému záruk pre mladých ľudí do 29 rokov.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Identifikácia sektorovej potreby zručností na trhu práce a dopytu po kvalifikovanej pracovnej sile prostredníctvom Národnej sústavy povolaní.</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Odborné vzdelávanie a postavenie učiteľov: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lastRenderedPageBreak/>
        <w:t>Zvyšovanie miezd učiteľov.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Lepšie zapojenie zamestnávateľov a zamestnávateľských zväzov do systému odborného vzdelávania a prípravy, podpora odbornej praxe žiakov vykonávanej priamo v podnikoch a zmeny v normatívnom financovaní odborného regionálneho školstva s cieľom posilniť kvalitu odborného vzdelávania.</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Marginalizované rómske komunity:</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Zvyšovanie počtu asistentov učiteľov.</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 xml:space="preserve">Vydávanie učebníc a učebných textov v slovenskom a v rómskom jazyku. </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Výskum a vývoj:</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Opatrenia z Akčného plánu stratégie RIS3.</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Transparentnosť regulácie sieťových odvetví:</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Hodnotenie potreby ďalšej regulácie.</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Zverejňovanie analýzy ku všetkým zásadnejším zmenám politík regulačného obdobia.</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Vybudovanie dátového centra na webovom sídle URSO.</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Prepájanie sústav a sietí:</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Prepojenie plynárenských sietí s Poľskom a Maďarskom.</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Prepojenie elektrizačných sústav s Maďarskom.</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Energetická efektívnosť v podnikoch:</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Podpora energetických auditov pre malé a stredné firmy.</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Implementácia smernice o energetickej efektívnosti.</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Verejná služba:</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Reforma štátnej služby.</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Model prevádzky Integrovaných obslužných miest.</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Grantový program pre posilnenie analytických kapacít vo VS.</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ESO - Efektívna, spoľahlivá a otvorená štátna správa.</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Justícia:</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Skrátenie dĺžky súdneho konania.</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Elektronický súdny spis.</w:t>
      </w:r>
    </w:p>
    <w:p w:rsidR="006A2332" w:rsidRPr="00E73279" w:rsidRDefault="006A2332" w:rsidP="00C119AA">
      <w:pPr>
        <w:pStyle w:val="Odsekzoznamu"/>
        <w:numPr>
          <w:ilvl w:val="0"/>
          <w:numId w:val="4"/>
        </w:numPr>
        <w:spacing w:after="160" w:line="240" w:lineRule="auto"/>
        <w:jc w:val="both"/>
        <w:rPr>
          <w:rFonts w:ascii="Times New Roman" w:hAnsi="Times New Roman" w:cs="Times New Roman"/>
          <w:sz w:val="24"/>
          <w:szCs w:val="24"/>
        </w:rPr>
      </w:pPr>
      <w:r w:rsidRPr="00E73279">
        <w:rPr>
          <w:rFonts w:ascii="Times New Roman" w:hAnsi="Times New Roman" w:cs="Times New Roman"/>
          <w:sz w:val="24"/>
          <w:szCs w:val="24"/>
        </w:rPr>
        <w:t>Zavedenie elektronickej Zbierky zákonov SR.</w:t>
      </w:r>
    </w:p>
    <w:p w:rsidR="006A2332" w:rsidRPr="00E73279" w:rsidRDefault="006A2332" w:rsidP="00E73279">
      <w:pPr>
        <w:spacing w:line="240" w:lineRule="auto"/>
        <w:jc w:val="both"/>
        <w:rPr>
          <w:rFonts w:ascii="Times New Roman" w:hAnsi="Times New Roman" w:cs="Times New Roman"/>
          <w:sz w:val="24"/>
          <w:szCs w:val="24"/>
        </w:rPr>
      </w:pPr>
      <w:r w:rsidRPr="00E73279">
        <w:rPr>
          <w:rFonts w:ascii="Times New Roman" w:hAnsi="Times New Roman" w:cs="Times New Roman"/>
          <w:sz w:val="24"/>
          <w:szCs w:val="24"/>
        </w:rPr>
        <w:t>Zdroj: Národný program reforiem Slovenskej republiky 2014, strana 24, 25.</w:t>
      </w:r>
    </w:p>
    <w:p w:rsidR="006A2332" w:rsidRPr="00E73279" w:rsidRDefault="006A2332" w:rsidP="00E73279">
      <w:pPr>
        <w:spacing w:line="240" w:lineRule="auto"/>
        <w:rPr>
          <w:rFonts w:ascii="Times New Roman" w:hAnsi="Times New Roman" w:cs="Times New Roman"/>
          <w:b/>
          <w:sz w:val="28"/>
        </w:rPr>
      </w:pP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SWOT analýza</w:t>
      </w:r>
    </w:p>
    <w:p w:rsidR="00E73279" w:rsidRPr="00E73279" w:rsidRDefault="00E73279" w:rsidP="00E73279">
      <w:pPr>
        <w:spacing w:line="240" w:lineRule="auto"/>
        <w:jc w:val="both"/>
        <w:rPr>
          <w:rFonts w:ascii="Times New Roman" w:hAnsi="Times New Roman" w:cs="Times New Roman"/>
          <w:bCs/>
          <w:sz w:val="24"/>
          <w:szCs w:val="24"/>
        </w:rPr>
      </w:pPr>
      <w:r w:rsidRPr="00E73279">
        <w:rPr>
          <w:rFonts w:ascii="Times New Roman" w:hAnsi="Times New Roman" w:cs="Times New Roman"/>
          <w:sz w:val="24"/>
          <w:szCs w:val="24"/>
        </w:rPr>
        <w:t xml:space="preserve">Z výsledkov dotazníkov, ktoré vypĺňali občania obce </w:t>
      </w:r>
      <w:r w:rsidR="006E6BC8">
        <w:rPr>
          <w:rFonts w:ascii="Times New Roman" w:hAnsi="Times New Roman" w:cs="Times New Roman"/>
          <w:sz w:val="24"/>
          <w:szCs w:val="24"/>
        </w:rPr>
        <w:t>Jatov</w:t>
      </w:r>
      <w:r w:rsidRPr="00E73279">
        <w:rPr>
          <w:rFonts w:ascii="Times New Roman" w:hAnsi="Times New Roman" w:cs="Times New Roman"/>
          <w:sz w:val="24"/>
          <w:szCs w:val="24"/>
        </w:rPr>
        <w:t xml:space="preserve">, sme vypracovali SWOT analýzu, ktorá </w:t>
      </w:r>
      <w:r w:rsidRPr="00E73279">
        <w:rPr>
          <w:rFonts w:ascii="Times New Roman" w:hAnsi="Times New Roman" w:cs="Times New Roman"/>
          <w:bCs/>
          <w:sz w:val="24"/>
          <w:szCs w:val="24"/>
        </w:rPr>
        <w:t xml:space="preserve">kompletizuje vnútorné silné a slabé stránky obce, jeho vonkajšie príležitosti a hrozby. Je to ľahko použiteľný nástroj na rýchle spracovanie prehľadu o strategickej situácii obce. Je východiskom pre formulovanie stratégie, ktorá vznikne ako súlad medzi internými </w:t>
      </w:r>
      <w:r w:rsidRPr="00E73279">
        <w:rPr>
          <w:rFonts w:ascii="Times New Roman" w:hAnsi="Times New Roman" w:cs="Times New Roman"/>
          <w:bCs/>
          <w:sz w:val="24"/>
          <w:szCs w:val="24"/>
        </w:rPr>
        <w:lastRenderedPageBreak/>
        <w:t>schopnosťami obce a jeho vonkajším prostredím. Všetky štyri skupiny sme rozdelili do troch kategórií, ktorými sú: Hospodárska oblasť, Sociálna oblasť a Environmentálna oblasť.</w:t>
      </w:r>
    </w:p>
    <w:p w:rsidR="002B4C4B" w:rsidRPr="00E73279" w:rsidRDefault="00E73279" w:rsidP="00E73279">
      <w:pPr>
        <w:spacing w:line="240" w:lineRule="auto"/>
        <w:rPr>
          <w:rFonts w:ascii="Times New Roman" w:hAnsi="Times New Roman" w:cs="Times New Roman"/>
          <w:sz w:val="24"/>
        </w:rPr>
      </w:pPr>
      <w:r w:rsidRPr="00E73279">
        <w:rPr>
          <w:rFonts w:ascii="Times New Roman" w:hAnsi="Times New Roman" w:cs="Times New Roman"/>
          <w:sz w:val="24"/>
        </w:rPr>
        <w:t>Tabuľka – SWOT analýza</w:t>
      </w:r>
    </w:p>
    <w:tbl>
      <w:tblPr>
        <w:tblStyle w:val="Mriekatabuky"/>
        <w:tblW w:w="0" w:type="auto"/>
        <w:tblLook w:val="04A0" w:firstRow="1" w:lastRow="0" w:firstColumn="1" w:lastColumn="0" w:noHBand="0" w:noVBand="1"/>
      </w:tblPr>
      <w:tblGrid>
        <w:gridCol w:w="4532"/>
        <w:gridCol w:w="4530"/>
      </w:tblGrid>
      <w:tr w:rsidR="00E73279" w:rsidRPr="00E73279" w:rsidTr="008B7EEC">
        <w:tc>
          <w:tcPr>
            <w:tcW w:w="9212" w:type="dxa"/>
            <w:gridSpan w:val="2"/>
          </w:tcPr>
          <w:p w:rsidR="00E73279" w:rsidRPr="00E73279" w:rsidRDefault="00E73279" w:rsidP="00E73279">
            <w:pPr>
              <w:jc w:val="center"/>
              <w:rPr>
                <w:rStyle w:val="Siln"/>
                <w:rFonts w:ascii="Times New Roman" w:hAnsi="Times New Roman" w:cs="Times New Roman"/>
                <w:sz w:val="24"/>
              </w:rPr>
            </w:pPr>
            <w:r w:rsidRPr="00E73279">
              <w:rPr>
                <w:rStyle w:val="Siln"/>
                <w:rFonts w:ascii="Times New Roman" w:hAnsi="Times New Roman" w:cs="Times New Roman"/>
                <w:sz w:val="24"/>
              </w:rPr>
              <w:t>INTERNÉ PROSTREDIE</w:t>
            </w:r>
          </w:p>
        </w:tc>
      </w:tr>
      <w:tr w:rsidR="00E73279" w:rsidRPr="00E73279" w:rsidTr="008B7EEC">
        <w:tc>
          <w:tcPr>
            <w:tcW w:w="4606" w:type="dxa"/>
          </w:tcPr>
          <w:p w:rsidR="00E73279" w:rsidRPr="00E73279" w:rsidRDefault="00E73279" w:rsidP="00E73279">
            <w:pPr>
              <w:jc w:val="both"/>
              <w:rPr>
                <w:rStyle w:val="Siln"/>
                <w:rFonts w:ascii="Times New Roman" w:hAnsi="Times New Roman" w:cs="Times New Roman"/>
                <w:smallCaps/>
                <w:sz w:val="24"/>
              </w:rPr>
            </w:pPr>
            <w:r w:rsidRPr="00E73279">
              <w:rPr>
                <w:rStyle w:val="Siln"/>
                <w:rFonts w:ascii="Times New Roman" w:hAnsi="Times New Roman" w:cs="Times New Roman"/>
                <w:smallCaps/>
                <w:sz w:val="24"/>
              </w:rPr>
              <w:t>Silné stránky</w:t>
            </w:r>
          </w:p>
        </w:tc>
        <w:tc>
          <w:tcPr>
            <w:tcW w:w="4606" w:type="dxa"/>
          </w:tcPr>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mallCaps/>
                <w:sz w:val="24"/>
              </w:rPr>
              <w:t>Slabé stránky</w:t>
            </w:r>
          </w:p>
        </w:tc>
      </w:tr>
      <w:tr w:rsidR="00E73279" w:rsidRPr="00E73279" w:rsidTr="008B7EEC">
        <w:tc>
          <w:tcPr>
            <w:tcW w:w="4606" w:type="dxa"/>
          </w:tcPr>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Hospodárska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Existencia záujmových organizácií a klubov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Vysoký podiel produktívnej zložky obyvateľstva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Vysoká angažovanosť obyvateľov obce na veciach spoločných a verejných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Vhodná poloha obce pre pokojný rodinný život</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 xml:space="preserve">Výhodná poloha obce v blízkosti termálneho kúpaliska </w:t>
            </w:r>
            <w:proofErr w:type="spellStart"/>
            <w:r w:rsidRPr="00E73279">
              <w:rPr>
                <w:rStyle w:val="Siln"/>
                <w:rFonts w:ascii="Times New Roman" w:hAnsi="Times New Roman" w:cs="Times New Roman"/>
                <w:b w:val="0"/>
                <w:sz w:val="24"/>
              </w:rPr>
              <w:t>Thermal</w:t>
            </w:r>
            <w:proofErr w:type="spellEnd"/>
            <w:r w:rsidRPr="00E73279">
              <w:rPr>
                <w:rStyle w:val="Siln"/>
                <w:rFonts w:ascii="Times New Roman" w:hAnsi="Times New Roman" w:cs="Times New Roman"/>
                <w:b w:val="0"/>
                <w:sz w:val="24"/>
              </w:rPr>
              <w:t xml:space="preserve"> </w:t>
            </w:r>
            <w:proofErr w:type="spellStart"/>
            <w:r w:rsidRPr="00E73279">
              <w:rPr>
                <w:rStyle w:val="Siln"/>
                <w:rFonts w:ascii="Times New Roman" w:hAnsi="Times New Roman" w:cs="Times New Roman"/>
                <w:b w:val="0"/>
                <w:sz w:val="24"/>
              </w:rPr>
              <w:t>Nitrava</w:t>
            </w:r>
            <w:proofErr w:type="spellEnd"/>
            <w:r w:rsidRPr="00E73279">
              <w:rPr>
                <w:rStyle w:val="Siln"/>
                <w:rFonts w:ascii="Times New Roman" w:hAnsi="Times New Roman" w:cs="Times New Roman"/>
                <w:b w:val="0"/>
                <w:sz w:val="24"/>
              </w:rPr>
              <w:t xml:space="preserve"> v Poľnom Kesove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Primerané surovinové zabezpečenie z domácej poľnohospodárskej produkcie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Zapojenie obce do občianskych združení pre regionálny rozvoj a všeobecný rozvoj členských obcí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 xml:space="preserve">Pozitívny vývoj kladného salda </w:t>
            </w:r>
            <w:proofErr w:type="spellStart"/>
            <w:r w:rsidRPr="00E73279">
              <w:rPr>
                <w:rStyle w:val="Siln"/>
                <w:rFonts w:ascii="Times New Roman" w:hAnsi="Times New Roman" w:cs="Times New Roman"/>
                <w:b w:val="0"/>
                <w:sz w:val="24"/>
              </w:rPr>
              <w:t>rozpéočtového</w:t>
            </w:r>
            <w:proofErr w:type="spellEnd"/>
            <w:r w:rsidRPr="00E73279">
              <w:rPr>
                <w:rStyle w:val="Siln"/>
                <w:rFonts w:ascii="Times New Roman" w:hAnsi="Times New Roman" w:cs="Times New Roman"/>
                <w:b w:val="0"/>
                <w:sz w:val="24"/>
              </w:rPr>
              <w:t xml:space="preserve"> prebytku obce, tvorba rezerv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Pozitívny vývoj fiškálnych indikátorov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Podpora spoločenskej a záujmovej činnosti zo strany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proofErr w:type="spellStart"/>
            <w:r w:rsidRPr="00E73279">
              <w:rPr>
                <w:rStyle w:val="Siln"/>
                <w:rFonts w:ascii="Times New Roman" w:hAnsi="Times New Roman" w:cs="Times New Roman"/>
                <w:b w:val="0"/>
                <w:sz w:val="24"/>
              </w:rPr>
              <w:t>Agrosektor</w:t>
            </w:r>
            <w:proofErr w:type="spellEnd"/>
            <w:r w:rsidRPr="00E73279">
              <w:rPr>
                <w:rStyle w:val="Siln"/>
                <w:rFonts w:ascii="Times New Roman" w:hAnsi="Times New Roman" w:cs="Times New Roman"/>
                <w:b w:val="0"/>
                <w:sz w:val="24"/>
              </w:rPr>
              <w:t xml:space="preserve"> v podnikateľskej štruktúre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Rozvíjajúce sa externé vzťahy obce s ďalšími partnerskými obcami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 xml:space="preserve">Príjemné vidieckej prostredie, relatívne blízka dostupnosť miest lokálneho významu,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pomerne nižšie ceny nehnuteľností a nižšie životné náklady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Kvalitná internetová stránka obce – prístup ku všetkým dôležitým informáciám</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Vysoká bonita pôdy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Dostatočná sieť základnej obchodnej vybavenosti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Vlakové a autobusové spojenie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Vlakové spojenie priamo do Bratislavy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Existencia poľovného revíru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Vybudovaná elektrická sieť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lastRenderedPageBreak/>
              <w:t>Vybudovaná telekomunikačná sieť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Cs w:val="0"/>
              </w:rPr>
            </w:pPr>
            <w:r w:rsidRPr="00E73279">
              <w:rPr>
                <w:rStyle w:val="Siln"/>
                <w:rFonts w:ascii="Times New Roman" w:hAnsi="Times New Roman" w:cs="Times New Roman"/>
                <w:b w:val="0"/>
                <w:sz w:val="24"/>
              </w:rPr>
              <w:t>Priebežné opravy miestnej komunikácie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Vybudovaný obecný vodovod</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Vybudovaný obecný plynovod</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Pekná príroda, lesy, vodné plochy na rekreáciu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Kvalitná orná pôda a vhodné podnebie pre poľnohospodárstvo a rekreáciu</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Sociálna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Kultúrno-spoločenský život, tradície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Organizovanie miestnych športových podujatí, športové aktivity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Dobré podmienky pre organizované trávenie voľného času pre deti, mládež, dospelých a dôchodcov prostredníctvom činnosti záujmových združení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Dostatočné kapacity predškolskej a školskej vybavenosti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Existencia futbalového ihriska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Rozvinutá sieť sociálnych zariadení a služieb v priľahlých sídlach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Dobre fungujúca materská aj základná škola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Podpora spoločenskej a záujmovej činnosti zo strany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Prítomnosť zariadení rozvoja telovýchovy a športu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sz w:val="24"/>
              </w:rPr>
            </w:pPr>
            <w:r w:rsidRPr="00E73279">
              <w:rPr>
                <w:rStyle w:val="Siln"/>
                <w:rFonts w:ascii="Times New Roman" w:hAnsi="Times New Roman" w:cs="Times New Roman"/>
                <w:b w:val="0"/>
                <w:sz w:val="24"/>
              </w:rPr>
              <w:t>Prítomnosť kultúrneho a pamäťového fondu na území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Existencia kostola v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Existencia domu kultúry</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Environmentálna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Kvalitná legislatíva pre nakladanie s KO a DSO</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Blízky kontakt s prírodou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Prítomnosť Artézskych studní v častiach Malý Jatov a </w:t>
            </w:r>
            <w:proofErr w:type="spellStart"/>
            <w:r w:rsidRPr="00E73279">
              <w:rPr>
                <w:rStyle w:val="Siln"/>
                <w:rFonts w:ascii="Times New Roman" w:hAnsi="Times New Roman" w:cs="Times New Roman"/>
                <w:b w:val="0"/>
                <w:sz w:val="24"/>
              </w:rPr>
              <w:t>Kendereš</w:t>
            </w:r>
            <w:proofErr w:type="spellEnd"/>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 katastri obce sa nachádza chránené vtáčie územie Dolné Považie a </w:t>
            </w:r>
            <w:proofErr w:type="spellStart"/>
            <w:r w:rsidRPr="00E73279">
              <w:rPr>
                <w:rStyle w:val="Siln"/>
                <w:rFonts w:ascii="Times New Roman" w:hAnsi="Times New Roman" w:cs="Times New Roman"/>
                <w:b w:val="0"/>
                <w:sz w:val="24"/>
              </w:rPr>
              <w:t>Slanisko</w:t>
            </w:r>
            <w:proofErr w:type="spellEnd"/>
            <w:r w:rsidRPr="00E73279">
              <w:rPr>
                <w:rStyle w:val="Siln"/>
                <w:rFonts w:ascii="Times New Roman" w:hAnsi="Times New Roman" w:cs="Times New Roman"/>
                <w:b w:val="0"/>
                <w:sz w:val="24"/>
              </w:rPr>
              <w:t xml:space="preserve"> pri Čiernom vršku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 obci sa nachádza vodná nádrž, ktorá je v správe Slovenského rybárskeho zväzu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Fungujúca separácia odpadu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Pravidelný odvoz tuhého komunálneho odpadu (TKO)</w:t>
            </w:r>
          </w:p>
          <w:p w:rsidR="00E73279" w:rsidRPr="00E73279" w:rsidRDefault="00E73279" w:rsidP="00E73279">
            <w:pPr>
              <w:jc w:val="both"/>
              <w:rPr>
                <w:rStyle w:val="Siln"/>
                <w:rFonts w:ascii="Times New Roman" w:hAnsi="Times New Roman" w:cs="Times New Roman"/>
                <w:sz w:val="24"/>
              </w:rPr>
            </w:pPr>
          </w:p>
        </w:tc>
        <w:tc>
          <w:tcPr>
            <w:tcW w:w="4606" w:type="dxa"/>
          </w:tcPr>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lastRenderedPageBreak/>
              <w:t>Hospodárska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Dlhodobo klesajúci trend vývoja počtu obyvateľov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Nedostatok pracovných príležitostí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Vysoké percento obyvateľov odchádzajúcich za prácou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Nedostatočne rozvinutý miestny trh práce v zmysle nepružnosti ponuky a dopytu na trhu práce, malého počtu pracovných príležitostí a nízkej miery tvorby pracovných miest</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Nedostatok priestorov pre začínajúcich podnikateľov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Pretrvávajúca vysoká miera nezamestnanosti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Nedostatočné aktivity a služby v cestovnom ruchu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Chýbajú atrakcie pre turistov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Nedostatočná propagácia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Cs w:val="0"/>
              </w:rPr>
            </w:pPr>
            <w:r w:rsidRPr="00E73279">
              <w:rPr>
                <w:rStyle w:val="Siln"/>
                <w:rFonts w:ascii="Times New Roman" w:hAnsi="Times New Roman" w:cs="Times New Roman"/>
                <w:b w:val="0"/>
                <w:sz w:val="24"/>
              </w:rPr>
              <w:t>Chýbajúci bankomat</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Negatívny stav chodníkov popri cestách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Nevyhovujúce spojenie autobusovej a počas voľných pracovných dní a sviatkov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Nedostatok športových plôch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 xml:space="preserve">Absencia verejného vodovodu v 20% obce (Nové Rastislavice, </w:t>
            </w:r>
            <w:proofErr w:type="spellStart"/>
            <w:r w:rsidRPr="00E73279">
              <w:rPr>
                <w:rStyle w:val="Siln"/>
                <w:rFonts w:ascii="Times New Roman" w:hAnsi="Times New Roman" w:cs="Times New Roman"/>
                <w:b w:val="0"/>
                <w:sz w:val="24"/>
              </w:rPr>
              <w:t>Švajčiareň</w:t>
            </w:r>
            <w:proofErr w:type="spellEnd"/>
            <w:r w:rsidRPr="00E73279">
              <w:rPr>
                <w:rStyle w:val="Siln"/>
                <w:rFonts w:ascii="Times New Roman" w:hAnsi="Times New Roman" w:cs="Times New Roman"/>
                <w:b w:val="0"/>
                <w:sz w:val="24"/>
              </w:rPr>
              <w:t>)</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Chýbajúce cyklistické prepojenie so susednými obcami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Nízky podiel vzdelanosti ľudských zdrojov vhodných na prácu v odvetviach s vysokou pridanou hodnotou</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Sociálna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Nedostatočná účasť občanov na kultúrno-spoločenských podujatiach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Neexistujúce zariadenie pre starostlivosť o starnúce obyvateľstvo</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Absentujúca zdravotná infraštruktúra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Chýbajúce centrum pre deti a mládež a matky s deťmi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Absencia domova dôchodcov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Absencia domu sociálnych služieb</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Absencia klubu dôchodcov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lastRenderedPageBreak/>
              <w:t>Nie sú vytvorené dostatočné podmienky pre stretávanie dôchodcov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Absencia bytového fondu pre mladé rodiny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Nerozvinutá nájomná bytová výstavba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Nedostatočná kvalita poskytovaných zdravotníckych služieb</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Zhoršujúci sa stav kultúrnej infraštruktúry v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Nevyhovujúca vzdelanostná štruktúra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Chýbajúce miestne múzeum a dom ľudových tradícií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Chýbajúce cyklistické cesty v obci i mimo nej</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Environmentálna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Nekontrolované spaľovanie domového, záhradného odpadu a trávy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Nedostatočná osveta obyvateľov v oblasti znečisťovania životného prostredia odpadmi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Nedostatočné napojenie nehnuteľnosti na verejný vodovod a kanalizáciu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Nedostatočná informovanosť obyvateľstva o stave ŽP</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Nedostatok technických kapacít zberu, dopravy, triedenia, zhodnocovania a likvidácie odpadov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Existencia čiernych skládok</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Absencia oddychovej zóny pre obyvateľov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rPr>
            </w:pPr>
            <w:r w:rsidRPr="00E73279">
              <w:rPr>
                <w:rStyle w:val="Siln"/>
                <w:rFonts w:ascii="Times New Roman" w:hAnsi="Times New Roman" w:cs="Times New Roman"/>
                <w:b w:val="0"/>
                <w:sz w:val="24"/>
              </w:rPr>
              <w:t>Priesaky spodnej vody do zariadení domového a bytového fondu obce</w:t>
            </w:r>
          </w:p>
          <w:p w:rsidR="00E73279" w:rsidRPr="00E73279" w:rsidRDefault="00E73279" w:rsidP="00E73279">
            <w:pPr>
              <w:jc w:val="both"/>
              <w:rPr>
                <w:rStyle w:val="Siln"/>
                <w:rFonts w:ascii="Times New Roman" w:hAnsi="Times New Roman" w:cs="Times New Roman"/>
                <w:sz w:val="24"/>
              </w:rPr>
            </w:pPr>
          </w:p>
        </w:tc>
      </w:tr>
      <w:tr w:rsidR="00E73279" w:rsidRPr="00E73279" w:rsidTr="008B7EEC">
        <w:tc>
          <w:tcPr>
            <w:tcW w:w="9212" w:type="dxa"/>
            <w:gridSpan w:val="2"/>
          </w:tcPr>
          <w:p w:rsidR="00E73279" w:rsidRPr="00E73279" w:rsidRDefault="00E73279" w:rsidP="00E73279">
            <w:pPr>
              <w:jc w:val="center"/>
              <w:rPr>
                <w:rStyle w:val="Siln"/>
                <w:rFonts w:ascii="Times New Roman" w:hAnsi="Times New Roman" w:cs="Times New Roman"/>
                <w:sz w:val="24"/>
              </w:rPr>
            </w:pPr>
            <w:r w:rsidRPr="00E73279">
              <w:rPr>
                <w:rStyle w:val="Siln"/>
                <w:rFonts w:ascii="Times New Roman" w:hAnsi="Times New Roman" w:cs="Times New Roman"/>
                <w:sz w:val="24"/>
              </w:rPr>
              <w:lastRenderedPageBreak/>
              <w:t>EXTERNÉ PROSTREDIE</w:t>
            </w:r>
          </w:p>
        </w:tc>
      </w:tr>
      <w:tr w:rsidR="00E73279" w:rsidRPr="00E73279" w:rsidTr="008B7EEC">
        <w:tc>
          <w:tcPr>
            <w:tcW w:w="4606" w:type="dxa"/>
          </w:tcPr>
          <w:p w:rsidR="00E73279" w:rsidRPr="00E73279" w:rsidRDefault="00E73279" w:rsidP="00E73279">
            <w:pPr>
              <w:jc w:val="both"/>
              <w:rPr>
                <w:rStyle w:val="Siln"/>
                <w:rFonts w:ascii="Times New Roman" w:hAnsi="Times New Roman" w:cs="Times New Roman"/>
                <w:smallCaps/>
                <w:sz w:val="24"/>
              </w:rPr>
            </w:pPr>
            <w:r w:rsidRPr="00E73279">
              <w:rPr>
                <w:rStyle w:val="Siln"/>
                <w:rFonts w:ascii="Times New Roman" w:hAnsi="Times New Roman" w:cs="Times New Roman"/>
                <w:smallCaps/>
                <w:sz w:val="24"/>
              </w:rPr>
              <w:t>Príležitosti</w:t>
            </w:r>
          </w:p>
        </w:tc>
        <w:tc>
          <w:tcPr>
            <w:tcW w:w="4606" w:type="dxa"/>
          </w:tcPr>
          <w:p w:rsidR="00E73279" w:rsidRPr="00E73279" w:rsidRDefault="00E73279" w:rsidP="00E73279">
            <w:pPr>
              <w:jc w:val="both"/>
              <w:rPr>
                <w:rStyle w:val="Siln"/>
                <w:rFonts w:ascii="Times New Roman" w:hAnsi="Times New Roman" w:cs="Times New Roman"/>
                <w:smallCaps/>
                <w:sz w:val="24"/>
              </w:rPr>
            </w:pPr>
            <w:r w:rsidRPr="00E73279">
              <w:rPr>
                <w:rStyle w:val="Siln"/>
                <w:rFonts w:ascii="Times New Roman" w:hAnsi="Times New Roman" w:cs="Times New Roman"/>
                <w:smallCaps/>
                <w:sz w:val="24"/>
              </w:rPr>
              <w:t>Ohrozenia</w:t>
            </w:r>
          </w:p>
        </w:tc>
      </w:tr>
      <w:tr w:rsidR="00E73279" w:rsidRPr="00E73279" w:rsidTr="008B7EEC">
        <w:tc>
          <w:tcPr>
            <w:tcW w:w="4606" w:type="dxa"/>
          </w:tcPr>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Hospodárska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lastRenderedPageBreak/>
              <w:t>Zapojenie občanov do vecí verejných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Nárast počtu obyvateľov propagáciou obce s dôrazom na vlakové spojenie do Bratislavy a Nových Zámkov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Vytvorenie podmienok a kapacít na plné využitie vlastného ľudského potenciálu všetkých vekových kategórií na zabezpečenie udržateľného rozvoja obce a kvality života jej obyvateľov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Dostatok ľudských zdrojov s dostatočnými skúsenosťami v oblasti poľnohospodárstva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Všemožne sa starať o udržanie mládeže v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Možnosť a perspektíva využitia reštauračných a ubytovacích kapacít CR</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Plné využitie vlastných i cudzích zdrojov a všetkých možností pre rozvoj obce, pre budovanie a modernizáciu občianskej vybavenosti a pre vytvorenie zdrojov príjmov pre obec aj v budúcnosti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Využitie Európskych štrukturálnych fondov, rámcových i komunitných programov na spolufinancovania rozvoja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Očakávaný ekonomický rozvoj Nitry a Nových Zámkov – priemyselné parky zvýšenie zamestnanosti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Dostupnosť širokého spektra vyššej vybavenosti v Bratislave, v Nitre a v Nových Zámkoch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Potenciál pre rozvoj tradičných remesiel</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Existencia vhodných podmienok na rozvoj poľnohospodárstva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Zvýšenie potenciálu cestovného ruchu obce, vybudovanie vlastných kapacít, potrebných sprievodných služieb a príťažlivých vlastných produktov pre rozvoj cestovného ruchu a ekonomickej sily podnikateľov i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Možnosť zapojenia obce do domácich a zahraničných regionálnych i nadregionálnych sietí spolupracujúcich miest a obcí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Potenciál rozvoja podnikateľských príležitostí v nadväznosti na existujúce podnikateľské činnosti alebo export podnikateľskej činnosti mimo hraníc</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lastRenderedPageBreak/>
              <w:t>Plné využitie možností, vyplývajúcich z plnenia cieľov Operačných programov NSRR, zo Stratégie rozvoja, PHSR, Programových priorít a zo Stratégie rozvoja cestovného ruchu Nitrianskeho samosprávneho kraja na rozvoj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Aplikácia Miestnej agendy 21 a udržateľného rozvoja v živote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Rozvoj agroturistiky a </w:t>
            </w:r>
            <w:proofErr w:type="spellStart"/>
            <w:r w:rsidRPr="00E73279">
              <w:rPr>
                <w:rStyle w:val="Siln"/>
                <w:rFonts w:ascii="Times New Roman" w:hAnsi="Times New Roman" w:cs="Times New Roman"/>
                <w:b w:val="0"/>
                <w:sz w:val="24"/>
                <w:szCs w:val="24"/>
              </w:rPr>
              <w:t>ekoturistiky</w:t>
            </w:r>
            <w:proofErr w:type="spellEnd"/>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Dostatok vhodných plôch pre výstavbu rodinných domov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Podpora tvorby nových pracovných príležitostí a zníženie dennej migrácie za prácou do okolitých miest a obcí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Podpora začínajúcich podnikateľov a malé firmy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Pomoc podnikateľom pri získaní nenávratných finančných prostriedkov z Európskych fondov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Podpora rozvoja špecifických oblastí rastlinnej výroby, nadväzujúceho potravinárskeho priemyslu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Podmienky pre rozvoj poľnohospodárstva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Využitie verejno-súkromného partnerstva pre rozvoj cestovného ruchu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Možnosti rozvíjania projektov spolupráce medzi partnerskými obcami na kultúrne, sociálno-ekonomickej a infraštruktúrnej báze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Vytváranie partnerstiev (podnikatelia, mimovládne organizácie, samospráva, štátna správa) pri riešení problematiky obce a jej spádového územia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Podpora obce pri stimulovaní rozvoja podnikateľského sektora, formou technickej pomoci, daňových úľav pri prenájme obecného majetku pre podnikateľské účely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Ideálna poloha pre vybudovanie cyklotrasy a jej napojenie na existujúce cyklotrasy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Vybudovanie oddychovej zóny pre cyklotrasu a potreby miestneho obyvateľstva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Zlepšenie prístupu malých a stredných podnikateľov k informačným technológiám a finančným zdrojom</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lastRenderedPageBreak/>
              <w:t>Vytvorenie ekonomických, legislatívnych a organizačných predpokladov pre rozvoj bytovej a technickej infraštruktúry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bCs w:val="0"/>
                <w:sz w:val="24"/>
                <w:szCs w:val="24"/>
              </w:rPr>
            </w:pPr>
            <w:r w:rsidRPr="00E73279">
              <w:rPr>
                <w:rStyle w:val="Siln"/>
                <w:rFonts w:ascii="Times New Roman" w:hAnsi="Times New Roman" w:cs="Times New Roman"/>
                <w:b w:val="0"/>
                <w:bCs w:val="0"/>
                <w:sz w:val="24"/>
                <w:szCs w:val="24"/>
              </w:rPr>
              <w:t xml:space="preserve">Dobudovanie chodníkov popri miestnych komunikáciách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bCs w:val="0"/>
                <w:sz w:val="24"/>
                <w:szCs w:val="24"/>
              </w:rPr>
              <w:t>Zrovnoprávnenie papierovej a elektronickej komunikácie medzi verejnou správou, občanmi a podnikateľmi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E-</w:t>
            </w:r>
            <w:proofErr w:type="spellStart"/>
            <w:r w:rsidRPr="00E73279">
              <w:rPr>
                <w:rStyle w:val="Siln"/>
                <w:rFonts w:ascii="Times New Roman" w:hAnsi="Times New Roman" w:cs="Times New Roman"/>
                <w:b w:val="0"/>
                <w:sz w:val="24"/>
                <w:szCs w:val="24"/>
              </w:rPr>
              <w:t>government</w:t>
            </w:r>
            <w:proofErr w:type="spellEnd"/>
            <w:r w:rsidRPr="00E73279">
              <w:rPr>
                <w:rStyle w:val="Siln"/>
                <w:rFonts w:ascii="Times New Roman" w:hAnsi="Times New Roman" w:cs="Times New Roman"/>
                <w:b w:val="0"/>
                <w:sz w:val="24"/>
                <w:szCs w:val="24"/>
              </w:rPr>
              <w:t xml:space="preserve"> je príležitosťou prelomovú modernizáciu interných administratívno-správnych procedúr, zlepšenie imidžu VS, ako aj zvýšenie podielu a záujmu verejnosti na správe vecí verejných</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Sociálna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Dobré podmienky pre organizované trávenie voľného času pre deti, mládež, dospelých a dôchodcov prostredníctvom činnosti záujmových združení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Rekonštrukcia ZŠ a MŠ</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Vybudovanie domu opatrovateľskej služby denného stacionára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Možnosť použitia 2% daní daňových subjektov na prioritné potreby zdravotníctva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Rozšírenie klubu mladých a klubu dôchodcov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Rozšírenie opatrovateľskej služby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Výstavba ubytovacích kapacít</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Zlepšenie štandardu zdravotníckych zariadení v dostupných zariadeniach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Zakladanie mimovládnych neziskových organizácií poskytujúcich všeobecne prospešné služby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Podporiť a podnietiť kultúrny a spoločenský život v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sz w:val="24"/>
                <w:szCs w:val="24"/>
              </w:rPr>
            </w:pPr>
            <w:r w:rsidRPr="00E73279">
              <w:rPr>
                <w:rStyle w:val="Siln"/>
                <w:rFonts w:ascii="Times New Roman" w:hAnsi="Times New Roman" w:cs="Times New Roman"/>
                <w:b w:val="0"/>
                <w:sz w:val="24"/>
                <w:szCs w:val="24"/>
              </w:rPr>
              <w:t>Podporiť a podnietiť aktivity občianskych, spoločenských a kultúrnych organizácií a združení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Záujem škôl, vzdelávacích inštitúcií a tretieho sektora o zapojenie do medzinárodnej spolupráce a do výchovno-vzdelávacích programov a projektov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Podporovať udržiavanie ľudových tradícií v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Spracovanie ročného programu kultúrnych podujatí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Obnova kultúrneho a pamäťového fondu v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lastRenderedPageBreak/>
              <w:t>Zvýšenie počítačovej gramotnosti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Spájanie pravidelných, tradičných kultúrnych aktivít s podnikateľskými aktivitami, resp. organizovanie kultúrnych aktivít pre podnikateľské účely (poznávacia a kultúrna turistika)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Nadväzovanie a zintenzívňovanie kultúrnych väzieb medzi jednotlivými združeniami na lokálnej, regionálnej a </w:t>
            </w:r>
            <w:proofErr w:type="spellStart"/>
            <w:r w:rsidRPr="00E73279">
              <w:rPr>
                <w:rStyle w:val="Siln"/>
                <w:rFonts w:ascii="Times New Roman" w:hAnsi="Times New Roman" w:cs="Times New Roman"/>
                <w:b w:val="0"/>
                <w:sz w:val="24"/>
                <w:szCs w:val="24"/>
              </w:rPr>
              <w:t>mikroregionálnej</w:t>
            </w:r>
            <w:proofErr w:type="spellEnd"/>
            <w:r w:rsidRPr="00E73279">
              <w:rPr>
                <w:rStyle w:val="Siln"/>
                <w:rFonts w:ascii="Times New Roman" w:hAnsi="Times New Roman" w:cs="Times New Roman"/>
                <w:b w:val="0"/>
                <w:sz w:val="24"/>
                <w:szCs w:val="24"/>
              </w:rPr>
              <w:t xml:space="preserve"> úrovni.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Asistencia obce pri zapájaní osôb s nízkym vzdelaním alebo kvalifikáciou do verejného života obce, súčinnosť obce s orgánmi štátnej správy pri organizovaní vzdelávacích a rekvalifikačných kurzov, aktivačných prác a pod.</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Vytvorenie cyklotrás spájajúce okolité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Podporovať existujúce i nové športové aktivity</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Environmentálna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Výstavba obecného </w:t>
            </w:r>
            <w:proofErr w:type="spellStart"/>
            <w:r w:rsidRPr="00E73279">
              <w:rPr>
                <w:rStyle w:val="Siln"/>
                <w:rFonts w:ascii="Times New Roman" w:hAnsi="Times New Roman" w:cs="Times New Roman"/>
                <w:b w:val="0"/>
                <w:sz w:val="24"/>
                <w:szCs w:val="24"/>
              </w:rPr>
              <w:t>kompostárne</w:t>
            </w:r>
            <w:proofErr w:type="spellEnd"/>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Zabezpečiť efektívny separovaný zber v celej obci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Možnosti materiálového, resp. energetického využitia odpadov pri rešpektovaní duálnych vlastností odpadov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Dôsledné plnenie kvalitne stanovených cieľov v oblasti odpadového hospodárstva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Odstránenie zdrojov znečistenia povrchových a podzemných vôd ohrozujúcich zdroje pitnej vody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Zvýšiť právne vedomie obyvateľstva vo sfére životného prostredia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Rozvoj ekologického poľnohospodárstva a ekologizácia priemyselnej výroby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Využitie Európskych fondov na vypracovanie vlastnej koncepcie znižovania, separovania a zužitkovania odpadov a energetickej koncepcie, vrátane využitia obnoviteľných zdrojov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Využitie potenciálu obnoviteľných zdrojov energie a podporu týchto aktivít z Európskych fondov</w:t>
            </w:r>
          </w:p>
        </w:tc>
        <w:tc>
          <w:tcPr>
            <w:tcW w:w="4606" w:type="dxa"/>
          </w:tcPr>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lastRenderedPageBreak/>
              <w:t>Hospodárska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lastRenderedPageBreak/>
              <w:t>Rast počtu obyvateľov v poproduktívnom veku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Odchod nespokojných, ekonomicky aktívnych občanov z obce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Opustenie vidieckeho štýlu života a postupný zánik tradícií</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Neochota obyvateľov uskutočňovať podnikateľské aktivity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Nedostatok vlastných finančných prostriedkov pre spolufinancovanie rozvojových projektov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Nízky rozpočet obce nedovoľuje v dostatočnej miere podporovať podnikateľské aktivity obyvateľstva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Veľká administratívna náročnosť pre získanie financií zo štátnych dotácií a z fondov EU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Nevýhodné podmienky čerpania prostriedkov z EÚ fondov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Nevýhodné podmienky čerpania úverových zdrojov z komerčných bánk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Nevyužitie potenciálu obce pre rozvoj cestovného ruchu a prímestskej rekreácie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Finančné a fiškálne riziko</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Nedostatok investičného kapitálu</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Riziko absolútneho poklesu zamestnanosti v lokálnom území či v rámci okresu vedúcemu k vysťahovaniu produktívneho obyvateľstva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Často meniaca sa legislatíva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Nedostatočná informovanosť o možnostiach získania zahraničných grantov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Negatívny demografický vývoj v dôsledku chýbajúcich podporných politík</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Chýbajúca infraštruktúra pre cestovný ruch</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Dobudovanie dopravnej infraštruktúry (chodníky a riešenie dopravných problémov)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Slabá propagácia, reklama a marketingové aktivity</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Sociálna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Nedostatok verejných priestorov pre oddych a šport</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Nedostatočné zdravotné služby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Neochota obyvateľov investovať do ďalšieho vzdelávania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lastRenderedPageBreak/>
              <w:t>Nedostatočné materiálne zabezpečenie a podpora talentovanej mládeže v jednotlivých druhoch športov</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Posun priorít mládeže ku konzumnej kultúre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Stagnácia vzdelanostnej úrovne obyvateľstva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Odliv kvalifikovanej a vzdelanej pracovnej sily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Možnosť oslabenia kultúrneho kapitálu v obci z dôvodov nezáujmu mladej generácie, možného nedostatku financií a pod.</w:t>
            </w:r>
          </w:p>
          <w:p w:rsidR="00E73279" w:rsidRPr="00E73279" w:rsidRDefault="00E73279" w:rsidP="00E73279">
            <w:pPr>
              <w:jc w:val="both"/>
              <w:rPr>
                <w:rStyle w:val="Siln"/>
                <w:rFonts w:ascii="Times New Roman" w:hAnsi="Times New Roman" w:cs="Times New Roman"/>
                <w:sz w:val="24"/>
              </w:rPr>
            </w:pPr>
            <w:r w:rsidRPr="00E73279">
              <w:rPr>
                <w:rStyle w:val="Siln"/>
                <w:rFonts w:ascii="Times New Roman" w:hAnsi="Times New Roman" w:cs="Times New Roman"/>
                <w:sz w:val="24"/>
              </w:rPr>
              <w:t>Environmentálna oblasť:</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Možnosť narušenia environmentálnej rovnováhy vplyvom nevybudovanej kanalizácie</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Ohrozená kvalita pitných a povrchových vôd</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Znečistenie ovzdušia veľkými zdrojmi znečistenia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Zníženie biodiverzity</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Nárast množstva vyvážaných odpadov, pretrvávajúce vykurovanie hlavne tuhými palivami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Nízka disciplína pri nakladaní s odpadmi</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 xml:space="preserve">Neriešenie problému existencie „čiernych“ skládok </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Nedostatočné ekologické povedomie obyvateľstva</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Spôsobenie nenapraviteľných škôd znečistením pôdy a podzemných vôd</w:t>
            </w:r>
          </w:p>
          <w:p w:rsidR="00E73279" w:rsidRPr="00E73279" w:rsidRDefault="00E73279" w:rsidP="00C119AA">
            <w:pPr>
              <w:pStyle w:val="Odsekzoznamu"/>
              <w:numPr>
                <w:ilvl w:val="0"/>
                <w:numId w:val="1"/>
              </w:numPr>
              <w:ind w:left="284" w:hanging="284"/>
              <w:jc w:val="both"/>
              <w:rPr>
                <w:rStyle w:val="Siln"/>
                <w:rFonts w:ascii="Times New Roman" w:hAnsi="Times New Roman" w:cs="Times New Roman"/>
                <w:b w:val="0"/>
                <w:sz w:val="24"/>
                <w:szCs w:val="24"/>
              </w:rPr>
            </w:pPr>
            <w:r w:rsidRPr="00E73279">
              <w:rPr>
                <w:rStyle w:val="Siln"/>
                <w:rFonts w:ascii="Times New Roman" w:hAnsi="Times New Roman" w:cs="Times New Roman"/>
                <w:b w:val="0"/>
                <w:sz w:val="24"/>
                <w:szCs w:val="24"/>
              </w:rPr>
              <w:t>Finančný dopad na rozpočet obce v dôsledku prísnejších predpisov na ochranu životného prostredia</w:t>
            </w:r>
          </w:p>
          <w:p w:rsidR="00E73279" w:rsidRPr="00E73279" w:rsidRDefault="00E73279" w:rsidP="00E73279">
            <w:pPr>
              <w:jc w:val="both"/>
              <w:rPr>
                <w:rStyle w:val="Siln"/>
                <w:rFonts w:ascii="Times New Roman" w:hAnsi="Times New Roman" w:cs="Times New Roman"/>
                <w:sz w:val="24"/>
              </w:rPr>
            </w:pPr>
          </w:p>
        </w:tc>
      </w:tr>
    </w:tbl>
    <w:p w:rsidR="00E73279" w:rsidRPr="00E73279" w:rsidRDefault="00E73279" w:rsidP="00E73279">
      <w:pPr>
        <w:spacing w:line="240" w:lineRule="auto"/>
        <w:rPr>
          <w:rFonts w:ascii="Times New Roman" w:hAnsi="Times New Roman" w:cs="Times New Roman"/>
          <w:b/>
          <w:sz w:val="28"/>
        </w:rPr>
      </w:pP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Zhodnotenie hlavných disparít a faktorov rozvoja</w:t>
      </w:r>
    </w:p>
    <w:p w:rsidR="002B4C4B" w:rsidRPr="00E73279" w:rsidRDefault="002B4C4B" w:rsidP="00E73279">
      <w:pPr>
        <w:spacing w:line="240" w:lineRule="auto"/>
        <w:rPr>
          <w:rFonts w:ascii="Times New Roman" w:hAnsi="Times New Roman" w:cs="Times New Roman"/>
          <w:b/>
          <w:sz w:val="28"/>
        </w:rPr>
      </w:pPr>
      <w:r w:rsidRPr="00E73279">
        <w:rPr>
          <w:rFonts w:ascii="Times New Roman" w:hAnsi="Times New Roman" w:cs="Times New Roman"/>
          <w:b/>
          <w:sz w:val="28"/>
        </w:rPr>
        <w:br w:type="page"/>
      </w:r>
    </w:p>
    <w:p w:rsidR="002B4C4B" w:rsidRPr="00E73279" w:rsidRDefault="002B4C4B" w:rsidP="00C119AA">
      <w:pPr>
        <w:pStyle w:val="Odsekzoznamu"/>
        <w:numPr>
          <w:ilvl w:val="0"/>
          <w:numId w:val="3"/>
        </w:numPr>
        <w:spacing w:line="240" w:lineRule="auto"/>
        <w:rPr>
          <w:rFonts w:ascii="Times New Roman" w:hAnsi="Times New Roman" w:cs="Times New Roman"/>
          <w:b/>
          <w:sz w:val="28"/>
        </w:rPr>
      </w:pPr>
      <w:r w:rsidRPr="00E73279">
        <w:rPr>
          <w:rFonts w:ascii="Times New Roman" w:hAnsi="Times New Roman" w:cs="Times New Roman"/>
          <w:b/>
          <w:sz w:val="28"/>
        </w:rPr>
        <w:lastRenderedPageBreak/>
        <w:t>Strategická časť</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Vízia rozvoja územia obce</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Strategický cieľ</w:t>
      </w:r>
    </w:p>
    <w:p w:rsidR="002B4C4B" w:rsidRPr="00E73279" w:rsidRDefault="002B4C4B" w:rsidP="00E73279">
      <w:pPr>
        <w:spacing w:line="240" w:lineRule="auto"/>
        <w:rPr>
          <w:rFonts w:ascii="Times New Roman" w:hAnsi="Times New Roman" w:cs="Times New Roman"/>
          <w:b/>
          <w:sz w:val="28"/>
        </w:rPr>
      </w:pPr>
      <w:r w:rsidRPr="00E73279">
        <w:rPr>
          <w:rFonts w:ascii="Times New Roman" w:hAnsi="Times New Roman" w:cs="Times New Roman"/>
          <w:b/>
          <w:sz w:val="28"/>
        </w:rPr>
        <w:br w:type="page"/>
      </w:r>
    </w:p>
    <w:p w:rsidR="002B4C4B" w:rsidRPr="00E73279" w:rsidRDefault="002B4C4B" w:rsidP="00C119AA">
      <w:pPr>
        <w:pStyle w:val="Odsekzoznamu"/>
        <w:numPr>
          <w:ilvl w:val="0"/>
          <w:numId w:val="3"/>
        </w:numPr>
        <w:spacing w:line="240" w:lineRule="auto"/>
        <w:rPr>
          <w:rFonts w:ascii="Times New Roman" w:hAnsi="Times New Roman" w:cs="Times New Roman"/>
          <w:b/>
          <w:sz w:val="28"/>
        </w:rPr>
      </w:pPr>
      <w:r w:rsidRPr="00E73279">
        <w:rPr>
          <w:rFonts w:ascii="Times New Roman" w:hAnsi="Times New Roman" w:cs="Times New Roman"/>
          <w:b/>
          <w:sz w:val="28"/>
        </w:rPr>
        <w:lastRenderedPageBreak/>
        <w:t>Programová časť</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Opatrenia a projekty vrátane ich priradenia k jednotlivým prioritám</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Súbor ukazovateľov výsledkov a dosahov</w:t>
      </w:r>
    </w:p>
    <w:p w:rsidR="002B4C4B" w:rsidRPr="00E73279" w:rsidRDefault="002B4C4B" w:rsidP="00E73279">
      <w:pPr>
        <w:spacing w:line="240" w:lineRule="auto"/>
        <w:rPr>
          <w:rFonts w:ascii="Times New Roman" w:hAnsi="Times New Roman" w:cs="Times New Roman"/>
          <w:b/>
          <w:sz w:val="28"/>
        </w:rPr>
      </w:pPr>
      <w:r w:rsidRPr="00E73279">
        <w:rPr>
          <w:rFonts w:ascii="Times New Roman" w:hAnsi="Times New Roman" w:cs="Times New Roman"/>
          <w:b/>
          <w:sz w:val="28"/>
        </w:rPr>
        <w:br w:type="page"/>
      </w:r>
    </w:p>
    <w:p w:rsidR="002B4C4B" w:rsidRPr="00E73279" w:rsidRDefault="002B4C4B" w:rsidP="00C119AA">
      <w:pPr>
        <w:pStyle w:val="Odsekzoznamu"/>
        <w:numPr>
          <w:ilvl w:val="0"/>
          <w:numId w:val="3"/>
        </w:numPr>
        <w:spacing w:line="240" w:lineRule="auto"/>
        <w:rPr>
          <w:rFonts w:ascii="Times New Roman" w:hAnsi="Times New Roman" w:cs="Times New Roman"/>
          <w:b/>
          <w:sz w:val="28"/>
        </w:rPr>
      </w:pPr>
      <w:r w:rsidRPr="00E73279">
        <w:rPr>
          <w:rFonts w:ascii="Times New Roman" w:hAnsi="Times New Roman" w:cs="Times New Roman"/>
          <w:b/>
          <w:sz w:val="28"/>
        </w:rPr>
        <w:lastRenderedPageBreak/>
        <w:t>Realizačná časť</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Východiská a popis úloh jednotlivých partnerov pri realizácii</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Popis postupov organizačného a inštitucionálneho zabezpečenia realizácie PHSR</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Stručný popis komunikačnej stratégie</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Systém monitorovania a hodnotenia</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Akčný plán na obdobie dvoch rokov</w:t>
      </w:r>
    </w:p>
    <w:p w:rsidR="002B4C4B" w:rsidRPr="00E73279" w:rsidRDefault="002B4C4B" w:rsidP="00E73279">
      <w:pPr>
        <w:spacing w:line="240" w:lineRule="auto"/>
        <w:rPr>
          <w:rFonts w:ascii="Times New Roman" w:hAnsi="Times New Roman" w:cs="Times New Roman"/>
          <w:b/>
          <w:sz w:val="28"/>
        </w:rPr>
      </w:pPr>
      <w:r w:rsidRPr="00E73279">
        <w:rPr>
          <w:rFonts w:ascii="Times New Roman" w:hAnsi="Times New Roman" w:cs="Times New Roman"/>
          <w:b/>
          <w:sz w:val="28"/>
        </w:rPr>
        <w:br w:type="page"/>
      </w:r>
    </w:p>
    <w:p w:rsidR="002B4C4B" w:rsidRPr="00E73279" w:rsidRDefault="002B4C4B" w:rsidP="00C119AA">
      <w:pPr>
        <w:pStyle w:val="Odsekzoznamu"/>
        <w:numPr>
          <w:ilvl w:val="0"/>
          <w:numId w:val="3"/>
        </w:numPr>
        <w:spacing w:line="240" w:lineRule="auto"/>
        <w:rPr>
          <w:rFonts w:ascii="Times New Roman" w:hAnsi="Times New Roman" w:cs="Times New Roman"/>
          <w:b/>
          <w:sz w:val="28"/>
        </w:rPr>
      </w:pPr>
      <w:r w:rsidRPr="00E73279">
        <w:rPr>
          <w:rFonts w:ascii="Times New Roman" w:hAnsi="Times New Roman" w:cs="Times New Roman"/>
          <w:b/>
          <w:sz w:val="28"/>
        </w:rPr>
        <w:lastRenderedPageBreak/>
        <w:t>Finančná časť</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Indikatívny finančný plán na celú realizáciu PHSR</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Model viaczdrojového financovania jednotlivých projektov</w:t>
      </w:r>
    </w:p>
    <w:p w:rsidR="002B4C4B" w:rsidRPr="00E73279" w:rsidRDefault="002B4C4B" w:rsidP="00C119AA">
      <w:pPr>
        <w:pStyle w:val="Odsekzoznamu"/>
        <w:numPr>
          <w:ilvl w:val="1"/>
          <w:numId w:val="3"/>
        </w:numPr>
        <w:spacing w:line="240" w:lineRule="auto"/>
        <w:rPr>
          <w:rFonts w:ascii="Times New Roman" w:hAnsi="Times New Roman" w:cs="Times New Roman"/>
          <w:b/>
          <w:sz w:val="28"/>
        </w:rPr>
      </w:pPr>
      <w:r w:rsidRPr="00E73279">
        <w:rPr>
          <w:rFonts w:ascii="Times New Roman" w:hAnsi="Times New Roman" w:cs="Times New Roman"/>
          <w:b/>
          <w:sz w:val="28"/>
        </w:rPr>
        <w:t xml:space="preserve">Systém hodnotenia a zaraďovania projektov do financovania </w:t>
      </w:r>
    </w:p>
    <w:p w:rsidR="008E7AF1" w:rsidRPr="00E73279" w:rsidRDefault="008E7AF1" w:rsidP="00E73279">
      <w:pPr>
        <w:spacing w:line="240" w:lineRule="auto"/>
        <w:rPr>
          <w:rFonts w:ascii="Times New Roman" w:hAnsi="Times New Roman" w:cs="Times New Roman"/>
          <w:b/>
          <w:sz w:val="28"/>
        </w:rPr>
      </w:pPr>
      <w:r w:rsidRPr="00E73279">
        <w:rPr>
          <w:rFonts w:ascii="Times New Roman" w:hAnsi="Times New Roman" w:cs="Times New Roman"/>
          <w:b/>
          <w:sz w:val="28"/>
        </w:rPr>
        <w:br w:type="page"/>
      </w:r>
    </w:p>
    <w:p w:rsidR="002B4C4B" w:rsidRPr="00E73279" w:rsidRDefault="008E7AF1" w:rsidP="00E73279">
      <w:pPr>
        <w:spacing w:line="240" w:lineRule="auto"/>
        <w:rPr>
          <w:rFonts w:ascii="Times New Roman" w:hAnsi="Times New Roman" w:cs="Times New Roman"/>
          <w:b/>
          <w:sz w:val="28"/>
        </w:rPr>
      </w:pPr>
      <w:r w:rsidRPr="00E73279">
        <w:rPr>
          <w:rFonts w:ascii="Times New Roman" w:hAnsi="Times New Roman" w:cs="Times New Roman"/>
          <w:b/>
          <w:sz w:val="28"/>
        </w:rPr>
        <w:lastRenderedPageBreak/>
        <w:t>Záverečná časť</w:t>
      </w:r>
    </w:p>
    <w:p w:rsidR="00A97E2C" w:rsidRPr="00E73279" w:rsidRDefault="00A97E2C" w:rsidP="00E73279">
      <w:pPr>
        <w:spacing w:line="240" w:lineRule="auto"/>
        <w:rPr>
          <w:rFonts w:ascii="Times New Roman" w:hAnsi="Times New Roman" w:cs="Times New Roman"/>
        </w:rPr>
      </w:pPr>
    </w:p>
    <w:sectPr w:rsidR="00A97E2C" w:rsidRPr="00E73279" w:rsidSect="008B7EEC">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50" w:rsidRDefault="00B82850" w:rsidP="00D51234">
      <w:pPr>
        <w:spacing w:after="0" w:line="240" w:lineRule="auto"/>
      </w:pPr>
      <w:r>
        <w:separator/>
      </w:r>
    </w:p>
  </w:endnote>
  <w:endnote w:type="continuationSeparator" w:id="0">
    <w:p w:rsidR="00B82850" w:rsidRDefault="00B82850" w:rsidP="00D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07938"/>
      <w:docPartObj>
        <w:docPartGallery w:val="Page Numbers (Bottom of Page)"/>
        <w:docPartUnique/>
      </w:docPartObj>
    </w:sdtPr>
    <w:sdtEndPr/>
    <w:sdtContent>
      <w:p w:rsidR="00CA5756" w:rsidRDefault="00B82850">
        <w:pPr>
          <w:pStyle w:val="Pta"/>
          <w:jc w:val="right"/>
        </w:pPr>
      </w:p>
    </w:sdtContent>
  </w:sdt>
  <w:p w:rsidR="00CA5756" w:rsidRDefault="00CA57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56" w:rsidRDefault="00CA5756">
    <w:pPr>
      <w:pStyle w:val="Pta"/>
      <w:jc w:val="right"/>
    </w:pPr>
  </w:p>
  <w:p w:rsidR="00CA5756" w:rsidRDefault="00CA575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56" w:rsidRDefault="00C45746">
    <w:pPr>
      <w:pStyle w:val="Pta"/>
      <w:jc w:val="right"/>
    </w:pPr>
    <w:r>
      <w:fldChar w:fldCharType="begin"/>
    </w:r>
    <w:r>
      <w:instrText xml:space="preserve"> PAGE   \* MERGEFORMAT </w:instrText>
    </w:r>
    <w:r>
      <w:fldChar w:fldCharType="separate"/>
    </w:r>
    <w:r w:rsidR="00B4041B">
      <w:rPr>
        <w:noProof/>
      </w:rPr>
      <w:t>33</w:t>
    </w:r>
    <w:r>
      <w:rPr>
        <w:noProof/>
      </w:rPr>
      <w:fldChar w:fldCharType="end"/>
    </w:r>
  </w:p>
  <w:p w:rsidR="00CA5756" w:rsidRDefault="00CA57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50" w:rsidRDefault="00B82850" w:rsidP="00D51234">
      <w:pPr>
        <w:spacing w:after="0" w:line="240" w:lineRule="auto"/>
      </w:pPr>
      <w:r>
        <w:separator/>
      </w:r>
    </w:p>
  </w:footnote>
  <w:footnote w:type="continuationSeparator" w:id="0">
    <w:p w:rsidR="00B82850" w:rsidRDefault="00B82850" w:rsidP="00D5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FAF"/>
    <w:multiLevelType w:val="hybridMultilevel"/>
    <w:tmpl w:val="82429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C47335"/>
    <w:multiLevelType w:val="hybridMultilevel"/>
    <w:tmpl w:val="2876B7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C4708D"/>
    <w:multiLevelType w:val="multilevel"/>
    <w:tmpl w:val="DD801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2D5C6B"/>
    <w:multiLevelType w:val="hybridMultilevel"/>
    <w:tmpl w:val="3028CE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413D07"/>
    <w:multiLevelType w:val="hybridMultilevel"/>
    <w:tmpl w:val="01B60244"/>
    <w:lvl w:ilvl="0" w:tplc="60843836">
      <w:start w:val="1"/>
      <w:numFmt w:val="bullet"/>
      <w:lvlText w:val=""/>
      <w:lvlJc w:val="left"/>
      <w:pPr>
        <w:ind w:left="720" w:hanging="360"/>
      </w:pPr>
      <w:rPr>
        <w:rFonts w:ascii="Symbol" w:hAnsi="Symbol" w:hint="default"/>
        <w:b w:val="0"/>
        <w:color w:val="222222"/>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336AB9"/>
    <w:multiLevelType w:val="hybridMultilevel"/>
    <w:tmpl w:val="FB1AC5B6"/>
    <w:lvl w:ilvl="0" w:tplc="60843836">
      <w:start w:val="1"/>
      <w:numFmt w:val="bullet"/>
      <w:lvlText w:val=""/>
      <w:lvlJc w:val="left"/>
      <w:pPr>
        <w:ind w:left="720" w:hanging="360"/>
      </w:pPr>
      <w:rPr>
        <w:rFonts w:ascii="Symbol" w:hAnsi="Symbol" w:hint="default"/>
        <w:b w:val="0"/>
        <w:color w:val="222222"/>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F196E63"/>
    <w:multiLevelType w:val="hybridMultilevel"/>
    <w:tmpl w:val="443C34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1CA2428"/>
    <w:multiLevelType w:val="hybridMultilevel"/>
    <w:tmpl w:val="7AE64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C4F2914"/>
    <w:multiLevelType w:val="hybridMultilevel"/>
    <w:tmpl w:val="5B9625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9170D30"/>
    <w:multiLevelType w:val="hybridMultilevel"/>
    <w:tmpl w:val="62969510"/>
    <w:lvl w:ilvl="0" w:tplc="3CB2EDE0">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572806"/>
    <w:multiLevelType w:val="hybridMultilevel"/>
    <w:tmpl w:val="39E80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007CBD"/>
    <w:multiLevelType w:val="multilevel"/>
    <w:tmpl w:val="37866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696020"/>
    <w:multiLevelType w:val="hybridMultilevel"/>
    <w:tmpl w:val="CB700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4BF11A0"/>
    <w:multiLevelType w:val="hybridMultilevel"/>
    <w:tmpl w:val="A9B4F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4CD3F1A"/>
    <w:multiLevelType w:val="hybridMultilevel"/>
    <w:tmpl w:val="F9828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9"/>
  </w:num>
  <w:num w:numId="6">
    <w:abstractNumId w:val="3"/>
  </w:num>
  <w:num w:numId="7">
    <w:abstractNumId w:val="4"/>
  </w:num>
  <w:num w:numId="8">
    <w:abstractNumId w:val="5"/>
  </w:num>
  <w:num w:numId="9">
    <w:abstractNumId w:val="1"/>
  </w:num>
  <w:num w:numId="10">
    <w:abstractNumId w:val="6"/>
  </w:num>
  <w:num w:numId="11">
    <w:abstractNumId w:val="8"/>
  </w:num>
  <w:num w:numId="12">
    <w:abstractNumId w:val="10"/>
  </w:num>
  <w:num w:numId="13">
    <w:abstractNumId w:val="14"/>
  </w:num>
  <w:num w:numId="14">
    <w:abstractNumId w:val="12"/>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4B"/>
    <w:rsid w:val="0003323F"/>
    <w:rsid w:val="000A3B66"/>
    <w:rsid w:val="000D4B61"/>
    <w:rsid w:val="001838BA"/>
    <w:rsid w:val="001A6E11"/>
    <w:rsid w:val="001F7260"/>
    <w:rsid w:val="00214934"/>
    <w:rsid w:val="00227814"/>
    <w:rsid w:val="002759DE"/>
    <w:rsid w:val="00294DEE"/>
    <w:rsid w:val="00297EC9"/>
    <w:rsid w:val="002A3E45"/>
    <w:rsid w:val="002A5F5E"/>
    <w:rsid w:val="002B4C4B"/>
    <w:rsid w:val="00342BB2"/>
    <w:rsid w:val="00350171"/>
    <w:rsid w:val="0037517E"/>
    <w:rsid w:val="003B529B"/>
    <w:rsid w:val="003F75CD"/>
    <w:rsid w:val="004663E7"/>
    <w:rsid w:val="00477ED0"/>
    <w:rsid w:val="004E7A33"/>
    <w:rsid w:val="00530BB8"/>
    <w:rsid w:val="00551D71"/>
    <w:rsid w:val="00590A6C"/>
    <w:rsid w:val="005B4AB3"/>
    <w:rsid w:val="005C50EB"/>
    <w:rsid w:val="006244C3"/>
    <w:rsid w:val="00660046"/>
    <w:rsid w:val="006A2332"/>
    <w:rsid w:val="006C5FA6"/>
    <w:rsid w:val="006E6BC8"/>
    <w:rsid w:val="006F5D6E"/>
    <w:rsid w:val="007261E1"/>
    <w:rsid w:val="00733380"/>
    <w:rsid w:val="008313BB"/>
    <w:rsid w:val="00873D7E"/>
    <w:rsid w:val="008A32A4"/>
    <w:rsid w:val="008A440E"/>
    <w:rsid w:val="008B7EEC"/>
    <w:rsid w:val="008D1E79"/>
    <w:rsid w:val="008E26A4"/>
    <w:rsid w:val="008E7AF1"/>
    <w:rsid w:val="00943ADF"/>
    <w:rsid w:val="009A07BC"/>
    <w:rsid w:val="009B5102"/>
    <w:rsid w:val="009E68C8"/>
    <w:rsid w:val="00A251D5"/>
    <w:rsid w:val="00A717B1"/>
    <w:rsid w:val="00A806B8"/>
    <w:rsid w:val="00A82B11"/>
    <w:rsid w:val="00A97E2C"/>
    <w:rsid w:val="00B01FDE"/>
    <w:rsid w:val="00B122E6"/>
    <w:rsid w:val="00B4041B"/>
    <w:rsid w:val="00B50F80"/>
    <w:rsid w:val="00B82850"/>
    <w:rsid w:val="00B86628"/>
    <w:rsid w:val="00BC48B6"/>
    <w:rsid w:val="00BC544B"/>
    <w:rsid w:val="00C0086B"/>
    <w:rsid w:val="00C119AA"/>
    <w:rsid w:val="00C45746"/>
    <w:rsid w:val="00C75FBC"/>
    <w:rsid w:val="00C81926"/>
    <w:rsid w:val="00C84E64"/>
    <w:rsid w:val="00C94660"/>
    <w:rsid w:val="00CA5756"/>
    <w:rsid w:val="00D2061A"/>
    <w:rsid w:val="00D51234"/>
    <w:rsid w:val="00D542CE"/>
    <w:rsid w:val="00D63F60"/>
    <w:rsid w:val="00DC035C"/>
    <w:rsid w:val="00DC3E72"/>
    <w:rsid w:val="00DC4244"/>
    <w:rsid w:val="00DE731F"/>
    <w:rsid w:val="00DF0F85"/>
    <w:rsid w:val="00E04C5D"/>
    <w:rsid w:val="00E568C6"/>
    <w:rsid w:val="00E73279"/>
    <w:rsid w:val="00E869C6"/>
    <w:rsid w:val="00E94291"/>
    <w:rsid w:val="00ED1148"/>
    <w:rsid w:val="00EE75CF"/>
    <w:rsid w:val="00F01B30"/>
    <w:rsid w:val="00F37D41"/>
    <w:rsid w:val="00F40727"/>
    <w:rsid w:val="00F4322C"/>
    <w:rsid w:val="00F535EE"/>
    <w:rsid w:val="00F83970"/>
    <w:rsid w:val="00FA3543"/>
    <w:rsid w:val="00FE06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D6C39-CAEF-443C-8901-46662A23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4C4B"/>
  </w:style>
  <w:style w:type="paragraph" w:styleId="Nadpis2">
    <w:name w:val="heading 2"/>
    <w:basedOn w:val="Normlny"/>
    <w:link w:val="Nadpis2Char"/>
    <w:uiPriority w:val="9"/>
    <w:qFormat/>
    <w:rsid w:val="002B4C4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qFormat/>
    <w:rsid w:val="002B4C4B"/>
    <w:pPr>
      <w:keepNext/>
      <w:spacing w:before="240" w:after="60" w:line="240" w:lineRule="auto"/>
      <w:outlineLvl w:val="2"/>
    </w:pPr>
    <w:rPr>
      <w:rFonts w:ascii="Arial" w:eastAsia="Times New Roman" w:hAnsi="Arial" w:cs="Arial"/>
      <w:b/>
      <w:bCs/>
      <w:sz w:val="26"/>
      <w:szCs w:val="26"/>
      <w:lang w:val="cs-CZ" w:eastAsia="cs-CZ"/>
    </w:rPr>
  </w:style>
  <w:style w:type="paragraph" w:styleId="Nadpis8">
    <w:name w:val="heading 8"/>
    <w:basedOn w:val="Normlny"/>
    <w:next w:val="Normlny"/>
    <w:link w:val="Nadpis8Char"/>
    <w:uiPriority w:val="9"/>
    <w:unhideWhenUsed/>
    <w:qFormat/>
    <w:rsid w:val="002B4C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B4C4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2B4C4B"/>
    <w:rPr>
      <w:rFonts w:ascii="Arial" w:eastAsia="Times New Roman" w:hAnsi="Arial" w:cs="Arial"/>
      <w:b/>
      <w:bCs/>
      <w:sz w:val="26"/>
      <w:szCs w:val="26"/>
      <w:lang w:val="cs-CZ" w:eastAsia="cs-CZ"/>
    </w:rPr>
  </w:style>
  <w:style w:type="character" w:customStyle="1" w:styleId="Nadpis8Char">
    <w:name w:val="Nadpis 8 Char"/>
    <w:basedOn w:val="Predvolenpsmoodseku"/>
    <w:link w:val="Nadpis8"/>
    <w:uiPriority w:val="9"/>
    <w:rsid w:val="002B4C4B"/>
    <w:rPr>
      <w:rFonts w:asciiTheme="majorHAnsi" w:eastAsiaTheme="majorEastAsia" w:hAnsiTheme="majorHAnsi" w:cstheme="majorBidi"/>
      <w:color w:val="404040" w:themeColor="text1" w:themeTint="BF"/>
      <w:sz w:val="20"/>
      <w:szCs w:val="20"/>
    </w:rPr>
  </w:style>
  <w:style w:type="paragraph" w:styleId="Normlnywebov">
    <w:name w:val="Normal (Web)"/>
    <w:basedOn w:val="Normlny"/>
    <w:uiPriority w:val="99"/>
    <w:semiHidden/>
    <w:unhideWhenUsed/>
    <w:rsid w:val="002B4C4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B4C4B"/>
    <w:rPr>
      <w:i/>
      <w:iCs/>
    </w:rPr>
  </w:style>
  <w:style w:type="character" w:customStyle="1" w:styleId="apple-converted-space">
    <w:name w:val="apple-converted-space"/>
    <w:basedOn w:val="Predvolenpsmoodseku"/>
    <w:rsid w:val="002B4C4B"/>
  </w:style>
  <w:style w:type="character" w:styleId="Hypertextovprepojenie">
    <w:name w:val="Hyperlink"/>
    <w:basedOn w:val="Predvolenpsmoodseku"/>
    <w:uiPriority w:val="99"/>
    <w:unhideWhenUsed/>
    <w:rsid w:val="002B4C4B"/>
    <w:rPr>
      <w:color w:val="0000FF"/>
      <w:u w:val="single"/>
    </w:rPr>
  </w:style>
  <w:style w:type="paragraph" w:styleId="Textbubliny">
    <w:name w:val="Balloon Text"/>
    <w:basedOn w:val="Normlny"/>
    <w:link w:val="TextbublinyChar"/>
    <w:uiPriority w:val="99"/>
    <w:semiHidden/>
    <w:unhideWhenUsed/>
    <w:rsid w:val="002B4C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B4C4B"/>
    <w:rPr>
      <w:rFonts w:ascii="Tahoma" w:hAnsi="Tahoma" w:cs="Tahoma"/>
      <w:sz w:val="16"/>
      <w:szCs w:val="16"/>
    </w:rPr>
  </w:style>
  <w:style w:type="paragraph" w:styleId="Odsekzoznamu">
    <w:name w:val="List Paragraph"/>
    <w:basedOn w:val="Normlny"/>
    <w:uiPriority w:val="34"/>
    <w:qFormat/>
    <w:rsid w:val="002B4C4B"/>
    <w:pPr>
      <w:ind w:left="720"/>
      <w:contextualSpacing/>
    </w:pPr>
  </w:style>
  <w:style w:type="character" w:styleId="Siln">
    <w:name w:val="Strong"/>
    <w:basedOn w:val="Predvolenpsmoodseku"/>
    <w:uiPriority w:val="22"/>
    <w:qFormat/>
    <w:rsid w:val="002B4C4B"/>
    <w:rPr>
      <w:b/>
      <w:bCs/>
    </w:rPr>
  </w:style>
  <w:style w:type="paragraph" w:styleId="Hlavika">
    <w:name w:val="header"/>
    <w:basedOn w:val="Normlny"/>
    <w:link w:val="HlavikaChar"/>
    <w:uiPriority w:val="99"/>
    <w:semiHidden/>
    <w:unhideWhenUsed/>
    <w:rsid w:val="002B4C4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B4C4B"/>
  </w:style>
  <w:style w:type="paragraph" w:styleId="Pta">
    <w:name w:val="footer"/>
    <w:basedOn w:val="Normlny"/>
    <w:link w:val="PtaChar"/>
    <w:uiPriority w:val="99"/>
    <w:unhideWhenUsed/>
    <w:rsid w:val="002B4C4B"/>
    <w:pPr>
      <w:tabs>
        <w:tab w:val="center" w:pos="4536"/>
        <w:tab w:val="right" w:pos="9072"/>
      </w:tabs>
      <w:spacing w:after="0" w:line="240" w:lineRule="auto"/>
    </w:pPr>
  </w:style>
  <w:style w:type="character" w:customStyle="1" w:styleId="PtaChar">
    <w:name w:val="Päta Char"/>
    <w:basedOn w:val="Predvolenpsmoodseku"/>
    <w:link w:val="Pta"/>
    <w:uiPriority w:val="99"/>
    <w:rsid w:val="002B4C4B"/>
  </w:style>
  <w:style w:type="paragraph" w:styleId="Bezriadkovania">
    <w:name w:val="No Spacing"/>
    <w:uiPriority w:val="1"/>
    <w:qFormat/>
    <w:rsid w:val="002B4C4B"/>
    <w:pPr>
      <w:spacing w:after="0" w:line="240" w:lineRule="auto"/>
    </w:pPr>
  </w:style>
  <w:style w:type="paragraph" w:styleId="Obyajntext">
    <w:name w:val="Plain Text"/>
    <w:basedOn w:val="Normlny"/>
    <w:link w:val="ObyajntextChar"/>
    <w:uiPriority w:val="99"/>
    <w:unhideWhenUsed/>
    <w:rsid w:val="002B4C4B"/>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rsid w:val="002B4C4B"/>
    <w:rPr>
      <w:rFonts w:ascii="Calibri" w:eastAsia="Calibri" w:hAnsi="Calibri" w:cs="Times New Roman"/>
      <w:szCs w:val="21"/>
    </w:rPr>
  </w:style>
  <w:style w:type="table" w:styleId="Mriekatabuky">
    <w:name w:val="Table Grid"/>
    <w:basedOn w:val="Normlnatabuka"/>
    <w:uiPriority w:val="59"/>
    <w:rsid w:val="002B4C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rkazkladnhotextu">
    <w:name w:val="Body Text Indent"/>
    <w:basedOn w:val="Normlny"/>
    <w:link w:val="ZarkazkladnhotextuChar"/>
    <w:rsid w:val="002B4C4B"/>
    <w:pPr>
      <w:spacing w:after="120"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2B4C4B"/>
    <w:rPr>
      <w:rFonts w:ascii="Times New Roman" w:eastAsia="Times New Roman" w:hAnsi="Times New Roman" w:cs="Times New Roman"/>
      <w:sz w:val="24"/>
      <w:szCs w:val="24"/>
      <w:lang w:val="cs-CZ" w:eastAsia="cs-CZ"/>
    </w:rPr>
  </w:style>
  <w:style w:type="paragraph" w:styleId="Zkladntext">
    <w:name w:val="Body Text"/>
    <w:basedOn w:val="Normlny"/>
    <w:link w:val="ZkladntextChar"/>
    <w:uiPriority w:val="99"/>
    <w:semiHidden/>
    <w:unhideWhenUsed/>
    <w:rsid w:val="002B4C4B"/>
    <w:pPr>
      <w:spacing w:after="120"/>
    </w:pPr>
  </w:style>
  <w:style w:type="character" w:customStyle="1" w:styleId="ZkladntextChar">
    <w:name w:val="Základný text Char"/>
    <w:basedOn w:val="Predvolenpsmoodseku"/>
    <w:link w:val="Zkladntext"/>
    <w:uiPriority w:val="99"/>
    <w:semiHidden/>
    <w:rsid w:val="002B4C4B"/>
  </w:style>
  <w:style w:type="paragraph" w:customStyle="1" w:styleId="Pismenka">
    <w:name w:val="Pismenka"/>
    <w:basedOn w:val="Zkladntext"/>
    <w:rsid w:val="002B4C4B"/>
    <w:pPr>
      <w:tabs>
        <w:tab w:val="num" w:pos="426"/>
      </w:tabs>
      <w:spacing w:after="0" w:line="240" w:lineRule="auto"/>
      <w:ind w:left="426" w:hanging="426"/>
      <w:jc w:val="both"/>
    </w:pPr>
    <w:rPr>
      <w:rFonts w:ascii="Times New Roman" w:eastAsia="Times New Roman" w:hAnsi="Times New Roman" w:cs="Times New Roman"/>
      <w:b/>
      <w:sz w:val="18"/>
      <w:szCs w:val="20"/>
      <w:lang w:eastAsia="sk-SK"/>
    </w:rPr>
  </w:style>
  <w:style w:type="table" w:styleId="Strednzoznam2zvraznenie3">
    <w:name w:val="Medium List 2 Accent 3"/>
    <w:basedOn w:val="Normlnatabuka"/>
    <w:uiPriority w:val="66"/>
    <w:rsid w:val="002B4C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1zvraznenie3">
    <w:name w:val="Medium List 1 Accent 3"/>
    <w:basedOn w:val="Normlnatabuka"/>
    <w:uiPriority w:val="65"/>
    <w:rsid w:val="002B4C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etlzoznamzvraznenie3">
    <w:name w:val="Light List Accent 3"/>
    <w:basedOn w:val="Normlnatabuka"/>
    <w:uiPriority w:val="61"/>
    <w:rsid w:val="002B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podfarbeniezvraznenie3">
    <w:name w:val="Light Shading Accent 3"/>
    <w:basedOn w:val="Normlnatabuka"/>
    <w:uiPriority w:val="60"/>
    <w:rsid w:val="002B4C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mriekazvraznenie3">
    <w:name w:val="Light Grid Accent 3"/>
    <w:basedOn w:val="Normlnatabuka"/>
    <w:uiPriority w:val="62"/>
    <w:rsid w:val="002B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Farebnmriekazvraznenie3">
    <w:name w:val="Colorful Grid Accent 3"/>
    <w:basedOn w:val="Normlnatabuka"/>
    <w:uiPriority w:val="73"/>
    <w:rsid w:val="002B4C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Svetlpodfarbenie1">
    <w:name w:val="Svetlé podfarbenie1"/>
    <w:basedOn w:val="Normlnatabuka"/>
    <w:uiPriority w:val="60"/>
    <w:rsid w:val="002B4C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221">
      <w:bodyDiv w:val="1"/>
      <w:marLeft w:val="0"/>
      <w:marRight w:val="0"/>
      <w:marTop w:val="0"/>
      <w:marBottom w:val="0"/>
      <w:divBdr>
        <w:top w:val="none" w:sz="0" w:space="0" w:color="auto"/>
        <w:left w:val="none" w:sz="0" w:space="0" w:color="auto"/>
        <w:bottom w:val="none" w:sz="0" w:space="0" w:color="auto"/>
        <w:right w:val="none" w:sz="0" w:space="0" w:color="auto"/>
      </w:divBdr>
    </w:div>
    <w:div w:id="46344874">
      <w:bodyDiv w:val="1"/>
      <w:marLeft w:val="0"/>
      <w:marRight w:val="0"/>
      <w:marTop w:val="0"/>
      <w:marBottom w:val="0"/>
      <w:divBdr>
        <w:top w:val="none" w:sz="0" w:space="0" w:color="auto"/>
        <w:left w:val="none" w:sz="0" w:space="0" w:color="auto"/>
        <w:bottom w:val="none" w:sz="0" w:space="0" w:color="auto"/>
        <w:right w:val="none" w:sz="0" w:space="0" w:color="auto"/>
      </w:divBdr>
    </w:div>
    <w:div w:id="92409658">
      <w:bodyDiv w:val="1"/>
      <w:marLeft w:val="0"/>
      <w:marRight w:val="0"/>
      <w:marTop w:val="0"/>
      <w:marBottom w:val="0"/>
      <w:divBdr>
        <w:top w:val="none" w:sz="0" w:space="0" w:color="auto"/>
        <w:left w:val="none" w:sz="0" w:space="0" w:color="auto"/>
        <w:bottom w:val="none" w:sz="0" w:space="0" w:color="auto"/>
        <w:right w:val="none" w:sz="0" w:space="0" w:color="auto"/>
      </w:divBdr>
    </w:div>
    <w:div w:id="118690293">
      <w:bodyDiv w:val="1"/>
      <w:marLeft w:val="0"/>
      <w:marRight w:val="0"/>
      <w:marTop w:val="0"/>
      <w:marBottom w:val="0"/>
      <w:divBdr>
        <w:top w:val="none" w:sz="0" w:space="0" w:color="auto"/>
        <w:left w:val="none" w:sz="0" w:space="0" w:color="auto"/>
        <w:bottom w:val="none" w:sz="0" w:space="0" w:color="auto"/>
        <w:right w:val="none" w:sz="0" w:space="0" w:color="auto"/>
      </w:divBdr>
    </w:div>
    <w:div w:id="195893446">
      <w:bodyDiv w:val="1"/>
      <w:marLeft w:val="0"/>
      <w:marRight w:val="0"/>
      <w:marTop w:val="0"/>
      <w:marBottom w:val="0"/>
      <w:divBdr>
        <w:top w:val="none" w:sz="0" w:space="0" w:color="auto"/>
        <w:left w:val="none" w:sz="0" w:space="0" w:color="auto"/>
        <w:bottom w:val="none" w:sz="0" w:space="0" w:color="auto"/>
        <w:right w:val="none" w:sz="0" w:space="0" w:color="auto"/>
      </w:divBdr>
      <w:divsChild>
        <w:div w:id="405568324">
          <w:marLeft w:val="0"/>
          <w:marRight w:val="0"/>
          <w:marTop w:val="0"/>
          <w:marBottom w:val="0"/>
          <w:divBdr>
            <w:top w:val="none" w:sz="0" w:space="0" w:color="auto"/>
            <w:left w:val="none" w:sz="0" w:space="0" w:color="auto"/>
            <w:bottom w:val="none" w:sz="0" w:space="0" w:color="auto"/>
            <w:right w:val="none" w:sz="0" w:space="0" w:color="auto"/>
          </w:divBdr>
        </w:div>
      </w:divsChild>
    </w:div>
    <w:div w:id="407270365">
      <w:bodyDiv w:val="1"/>
      <w:marLeft w:val="0"/>
      <w:marRight w:val="0"/>
      <w:marTop w:val="0"/>
      <w:marBottom w:val="0"/>
      <w:divBdr>
        <w:top w:val="none" w:sz="0" w:space="0" w:color="auto"/>
        <w:left w:val="none" w:sz="0" w:space="0" w:color="auto"/>
        <w:bottom w:val="none" w:sz="0" w:space="0" w:color="auto"/>
        <w:right w:val="none" w:sz="0" w:space="0" w:color="auto"/>
      </w:divBdr>
      <w:divsChild>
        <w:div w:id="510873735">
          <w:marLeft w:val="0"/>
          <w:marRight w:val="0"/>
          <w:marTop w:val="0"/>
          <w:marBottom w:val="0"/>
          <w:divBdr>
            <w:top w:val="none" w:sz="0" w:space="0" w:color="auto"/>
            <w:left w:val="none" w:sz="0" w:space="0" w:color="auto"/>
            <w:bottom w:val="none" w:sz="0" w:space="0" w:color="auto"/>
            <w:right w:val="none" w:sz="0" w:space="0" w:color="auto"/>
          </w:divBdr>
          <w:divsChild>
            <w:div w:id="1436748528">
              <w:marLeft w:val="0"/>
              <w:marRight w:val="0"/>
              <w:marTop w:val="0"/>
              <w:marBottom w:val="0"/>
              <w:divBdr>
                <w:top w:val="none" w:sz="0" w:space="0" w:color="auto"/>
                <w:left w:val="none" w:sz="0" w:space="0" w:color="auto"/>
                <w:bottom w:val="none" w:sz="0" w:space="0" w:color="auto"/>
                <w:right w:val="none" w:sz="0" w:space="0" w:color="auto"/>
              </w:divBdr>
              <w:divsChild>
                <w:div w:id="661616874">
                  <w:marLeft w:val="0"/>
                  <w:marRight w:val="0"/>
                  <w:marTop w:val="0"/>
                  <w:marBottom w:val="0"/>
                  <w:divBdr>
                    <w:top w:val="none" w:sz="0" w:space="0" w:color="auto"/>
                    <w:left w:val="none" w:sz="0" w:space="0" w:color="auto"/>
                    <w:bottom w:val="none" w:sz="0" w:space="0" w:color="auto"/>
                    <w:right w:val="none" w:sz="0" w:space="0" w:color="auto"/>
                  </w:divBdr>
                  <w:divsChild>
                    <w:div w:id="811407353">
                      <w:marLeft w:val="0"/>
                      <w:marRight w:val="0"/>
                      <w:marTop w:val="0"/>
                      <w:marBottom w:val="0"/>
                      <w:divBdr>
                        <w:top w:val="none" w:sz="0" w:space="0" w:color="auto"/>
                        <w:left w:val="none" w:sz="0" w:space="0" w:color="auto"/>
                        <w:bottom w:val="none" w:sz="0" w:space="0" w:color="auto"/>
                        <w:right w:val="none" w:sz="0" w:space="0" w:color="auto"/>
                      </w:divBdr>
                      <w:divsChild>
                        <w:div w:id="983970057">
                          <w:marLeft w:val="0"/>
                          <w:marRight w:val="0"/>
                          <w:marTop w:val="0"/>
                          <w:marBottom w:val="0"/>
                          <w:divBdr>
                            <w:top w:val="none" w:sz="0" w:space="0" w:color="auto"/>
                            <w:left w:val="none" w:sz="0" w:space="0" w:color="auto"/>
                            <w:bottom w:val="none" w:sz="0" w:space="0" w:color="auto"/>
                            <w:right w:val="none" w:sz="0" w:space="0" w:color="auto"/>
                          </w:divBdr>
                          <w:divsChild>
                            <w:div w:id="998846419">
                              <w:marLeft w:val="0"/>
                              <w:marRight w:val="0"/>
                              <w:marTop w:val="0"/>
                              <w:marBottom w:val="0"/>
                              <w:divBdr>
                                <w:top w:val="none" w:sz="0" w:space="0" w:color="auto"/>
                                <w:left w:val="none" w:sz="0" w:space="0" w:color="auto"/>
                                <w:bottom w:val="none" w:sz="0" w:space="0" w:color="auto"/>
                                <w:right w:val="none" w:sz="0" w:space="0" w:color="auto"/>
                              </w:divBdr>
                              <w:divsChild>
                                <w:div w:id="91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3707">
          <w:marLeft w:val="0"/>
          <w:marRight w:val="0"/>
          <w:marTop w:val="0"/>
          <w:marBottom w:val="0"/>
          <w:divBdr>
            <w:top w:val="none" w:sz="0" w:space="0" w:color="auto"/>
            <w:left w:val="none" w:sz="0" w:space="0" w:color="auto"/>
            <w:bottom w:val="none" w:sz="0" w:space="0" w:color="auto"/>
            <w:right w:val="none" w:sz="0" w:space="0" w:color="auto"/>
          </w:divBdr>
        </w:div>
      </w:divsChild>
    </w:div>
    <w:div w:id="506560443">
      <w:bodyDiv w:val="1"/>
      <w:marLeft w:val="0"/>
      <w:marRight w:val="0"/>
      <w:marTop w:val="0"/>
      <w:marBottom w:val="0"/>
      <w:divBdr>
        <w:top w:val="none" w:sz="0" w:space="0" w:color="auto"/>
        <w:left w:val="none" w:sz="0" w:space="0" w:color="auto"/>
        <w:bottom w:val="none" w:sz="0" w:space="0" w:color="auto"/>
        <w:right w:val="none" w:sz="0" w:space="0" w:color="auto"/>
      </w:divBdr>
    </w:div>
    <w:div w:id="651911563">
      <w:bodyDiv w:val="1"/>
      <w:marLeft w:val="0"/>
      <w:marRight w:val="0"/>
      <w:marTop w:val="0"/>
      <w:marBottom w:val="0"/>
      <w:divBdr>
        <w:top w:val="none" w:sz="0" w:space="0" w:color="auto"/>
        <w:left w:val="none" w:sz="0" w:space="0" w:color="auto"/>
        <w:bottom w:val="none" w:sz="0" w:space="0" w:color="auto"/>
        <w:right w:val="none" w:sz="0" w:space="0" w:color="auto"/>
      </w:divBdr>
    </w:div>
    <w:div w:id="951522683">
      <w:bodyDiv w:val="1"/>
      <w:marLeft w:val="0"/>
      <w:marRight w:val="0"/>
      <w:marTop w:val="0"/>
      <w:marBottom w:val="0"/>
      <w:divBdr>
        <w:top w:val="none" w:sz="0" w:space="0" w:color="auto"/>
        <w:left w:val="none" w:sz="0" w:space="0" w:color="auto"/>
        <w:bottom w:val="none" w:sz="0" w:space="0" w:color="auto"/>
        <w:right w:val="none" w:sz="0" w:space="0" w:color="auto"/>
      </w:divBdr>
    </w:div>
    <w:div w:id="1086222196">
      <w:bodyDiv w:val="1"/>
      <w:marLeft w:val="0"/>
      <w:marRight w:val="0"/>
      <w:marTop w:val="0"/>
      <w:marBottom w:val="0"/>
      <w:divBdr>
        <w:top w:val="none" w:sz="0" w:space="0" w:color="auto"/>
        <w:left w:val="none" w:sz="0" w:space="0" w:color="auto"/>
        <w:bottom w:val="none" w:sz="0" w:space="0" w:color="auto"/>
        <w:right w:val="none" w:sz="0" w:space="0" w:color="auto"/>
      </w:divBdr>
      <w:divsChild>
        <w:div w:id="2019384064">
          <w:marLeft w:val="0"/>
          <w:marRight w:val="0"/>
          <w:marTop w:val="0"/>
          <w:marBottom w:val="0"/>
          <w:divBdr>
            <w:top w:val="none" w:sz="0" w:space="0" w:color="auto"/>
            <w:left w:val="none" w:sz="0" w:space="0" w:color="auto"/>
            <w:bottom w:val="none" w:sz="0" w:space="0" w:color="auto"/>
            <w:right w:val="none" w:sz="0" w:space="0" w:color="auto"/>
          </w:divBdr>
        </w:div>
        <w:div w:id="1046952489">
          <w:marLeft w:val="0"/>
          <w:marRight w:val="0"/>
          <w:marTop w:val="0"/>
          <w:marBottom w:val="0"/>
          <w:divBdr>
            <w:top w:val="none" w:sz="0" w:space="0" w:color="auto"/>
            <w:left w:val="none" w:sz="0" w:space="0" w:color="auto"/>
            <w:bottom w:val="none" w:sz="0" w:space="0" w:color="auto"/>
            <w:right w:val="none" w:sz="0" w:space="0" w:color="auto"/>
          </w:divBdr>
        </w:div>
      </w:divsChild>
    </w:div>
    <w:div w:id="1145780878">
      <w:bodyDiv w:val="1"/>
      <w:marLeft w:val="0"/>
      <w:marRight w:val="0"/>
      <w:marTop w:val="0"/>
      <w:marBottom w:val="0"/>
      <w:divBdr>
        <w:top w:val="none" w:sz="0" w:space="0" w:color="auto"/>
        <w:left w:val="none" w:sz="0" w:space="0" w:color="auto"/>
        <w:bottom w:val="none" w:sz="0" w:space="0" w:color="auto"/>
        <w:right w:val="none" w:sz="0" w:space="0" w:color="auto"/>
      </w:divBdr>
    </w:div>
    <w:div w:id="1213955808">
      <w:bodyDiv w:val="1"/>
      <w:marLeft w:val="0"/>
      <w:marRight w:val="0"/>
      <w:marTop w:val="0"/>
      <w:marBottom w:val="0"/>
      <w:divBdr>
        <w:top w:val="none" w:sz="0" w:space="0" w:color="auto"/>
        <w:left w:val="none" w:sz="0" w:space="0" w:color="auto"/>
        <w:bottom w:val="none" w:sz="0" w:space="0" w:color="auto"/>
        <w:right w:val="none" w:sz="0" w:space="0" w:color="auto"/>
      </w:divBdr>
    </w:div>
    <w:div w:id="1333216341">
      <w:bodyDiv w:val="1"/>
      <w:marLeft w:val="0"/>
      <w:marRight w:val="0"/>
      <w:marTop w:val="0"/>
      <w:marBottom w:val="0"/>
      <w:divBdr>
        <w:top w:val="none" w:sz="0" w:space="0" w:color="auto"/>
        <w:left w:val="none" w:sz="0" w:space="0" w:color="auto"/>
        <w:bottom w:val="none" w:sz="0" w:space="0" w:color="auto"/>
        <w:right w:val="none" w:sz="0" w:space="0" w:color="auto"/>
      </w:divBdr>
    </w:div>
    <w:div w:id="1361052390">
      <w:bodyDiv w:val="1"/>
      <w:marLeft w:val="0"/>
      <w:marRight w:val="0"/>
      <w:marTop w:val="0"/>
      <w:marBottom w:val="0"/>
      <w:divBdr>
        <w:top w:val="none" w:sz="0" w:space="0" w:color="auto"/>
        <w:left w:val="none" w:sz="0" w:space="0" w:color="auto"/>
        <w:bottom w:val="none" w:sz="0" w:space="0" w:color="auto"/>
        <w:right w:val="none" w:sz="0" w:space="0" w:color="auto"/>
      </w:divBdr>
    </w:div>
    <w:div w:id="1389954666">
      <w:bodyDiv w:val="1"/>
      <w:marLeft w:val="0"/>
      <w:marRight w:val="0"/>
      <w:marTop w:val="0"/>
      <w:marBottom w:val="0"/>
      <w:divBdr>
        <w:top w:val="none" w:sz="0" w:space="0" w:color="auto"/>
        <w:left w:val="none" w:sz="0" w:space="0" w:color="auto"/>
        <w:bottom w:val="none" w:sz="0" w:space="0" w:color="auto"/>
        <w:right w:val="none" w:sz="0" w:space="0" w:color="auto"/>
      </w:divBdr>
    </w:div>
    <w:div w:id="1430271085">
      <w:bodyDiv w:val="1"/>
      <w:marLeft w:val="0"/>
      <w:marRight w:val="0"/>
      <w:marTop w:val="0"/>
      <w:marBottom w:val="0"/>
      <w:divBdr>
        <w:top w:val="none" w:sz="0" w:space="0" w:color="auto"/>
        <w:left w:val="none" w:sz="0" w:space="0" w:color="auto"/>
        <w:bottom w:val="none" w:sz="0" w:space="0" w:color="auto"/>
        <w:right w:val="none" w:sz="0" w:space="0" w:color="auto"/>
      </w:divBdr>
    </w:div>
    <w:div w:id="1485002446">
      <w:bodyDiv w:val="1"/>
      <w:marLeft w:val="0"/>
      <w:marRight w:val="0"/>
      <w:marTop w:val="0"/>
      <w:marBottom w:val="0"/>
      <w:divBdr>
        <w:top w:val="none" w:sz="0" w:space="0" w:color="auto"/>
        <w:left w:val="none" w:sz="0" w:space="0" w:color="auto"/>
        <w:bottom w:val="none" w:sz="0" w:space="0" w:color="auto"/>
        <w:right w:val="none" w:sz="0" w:space="0" w:color="auto"/>
      </w:divBdr>
    </w:div>
    <w:div w:id="1612778564">
      <w:bodyDiv w:val="1"/>
      <w:marLeft w:val="0"/>
      <w:marRight w:val="0"/>
      <w:marTop w:val="0"/>
      <w:marBottom w:val="0"/>
      <w:divBdr>
        <w:top w:val="none" w:sz="0" w:space="0" w:color="auto"/>
        <w:left w:val="none" w:sz="0" w:space="0" w:color="auto"/>
        <w:bottom w:val="none" w:sz="0" w:space="0" w:color="auto"/>
        <w:right w:val="none" w:sz="0" w:space="0" w:color="auto"/>
      </w:divBdr>
    </w:div>
    <w:div w:id="1628854511">
      <w:bodyDiv w:val="1"/>
      <w:marLeft w:val="0"/>
      <w:marRight w:val="0"/>
      <w:marTop w:val="0"/>
      <w:marBottom w:val="0"/>
      <w:divBdr>
        <w:top w:val="none" w:sz="0" w:space="0" w:color="auto"/>
        <w:left w:val="none" w:sz="0" w:space="0" w:color="auto"/>
        <w:bottom w:val="none" w:sz="0" w:space="0" w:color="auto"/>
        <w:right w:val="none" w:sz="0" w:space="0" w:color="auto"/>
      </w:divBdr>
    </w:div>
    <w:div w:id="1728256657">
      <w:bodyDiv w:val="1"/>
      <w:marLeft w:val="0"/>
      <w:marRight w:val="0"/>
      <w:marTop w:val="0"/>
      <w:marBottom w:val="0"/>
      <w:divBdr>
        <w:top w:val="none" w:sz="0" w:space="0" w:color="auto"/>
        <w:left w:val="none" w:sz="0" w:space="0" w:color="auto"/>
        <w:bottom w:val="none" w:sz="0" w:space="0" w:color="auto"/>
        <w:right w:val="none" w:sz="0" w:space="0" w:color="auto"/>
      </w:divBdr>
    </w:div>
    <w:div w:id="20221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kt&#243;ria\Desktop\MR%20CN\PHSR\Hotov&#233;\Jatov\Grafy%20a%20tabu&#318;ka%20Jato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ikt&#243;ria\Downloads\Cedron.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kt&#243;ria\Desktop\MR%20CN\PHSR\Jatov\Grafy%20a%20tabu&#318;ka%20Jat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'[Grafy a tabuľka Jatov.xlsx]Hárok1'!$N$19:$P$19,'[Grafy a tabuľka Jatov.xlsx]Hárok1'!$R$19:$U$19</c:f>
              <c:strCache>
                <c:ptCount val="7"/>
                <c:pt idx="0">
                  <c:v>Orná pôda</c:v>
                </c:pt>
                <c:pt idx="1">
                  <c:v>Trvalé kultúry</c:v>
                </c:pt>
                <c:pt idx="2">
                  <c:v>TTP</c:v>
                </c:pt>
                <c:pt idx="3">
                  <c:v>Lesná pôda</c:v>
                </c:pt>
                <c:pt idx="4">
                  <c:v>Vodná pôda</c:v>
                </c:pt>
                <c:pt idx="5">
                  <c:v>Zastavaná pôda</c:v>
                </c:pt>
                <c:pt idx="6">
                  <c:v>Ostatná pôda</c:v>
                </c:pt>
              </c:strCache>
            </c:strRef>
          </c:cat>
          <c:val>
            <c:numRef>
              <c:f>'[Grafy a tabuľka Jatov.xlsx]Hárok1'!$N$21:$P$21,'[Grafy a tabuľka Jatov.xlsx]Hárok1'!$R$21:$U$21</c:f>
              <c:numCache>
                <c:formatCode>0.0%</c:formatCode>
                <c:ptCount val="7"/>
                <c:pt idx="0">
                  <c:v>0.78577362798750061</c:v>
                </c:pt>
                <c:pt idx="1">
                  <c:v>3.999056649282573E-2</c:v>
                </c:pt>
                <c:pt idx="2">
                  <c:v>2.5352550530902768E-2</c:v>
                </c:pt>
                <c:pt idx="3">
                  <c:v>2.5985024307360813E-2</c:v>
                </c:pt>
                <c:pt idx="4">
                  <c:v>5.2929479173924925E-2</c:v>
                </c:pt>
                <c:pt idx="5">
                  <c:v>6.1730512571756303E-2</c:v>
                </c:pt>
                <c:pt idx="6">
                  <c:v>8.2007193049220568E-3</c:v>
                </c:pt>
              </c:numCache>
            </c:numRef>
          </c:val>
        </c:ser>
        <c:dLbls>
          <c:showLegendKey val="0"/>
          <c:showVal val="1"/>
          <c:showCatName val="0"/>
          <c:showSerName val="0"/>
          <c:showPercent val="0"/>
          <c:showBubbleSize val="0"/>
          <c:showLeaderLines val="0"/>
        </c:dLbls>
      </c:pie3DChart>
    </c:plotArea>
    <c:legend>
      <c:legendPos val="r"/>
      <c:overlay val="0"/>
      <c:txPr>
        <a:bodyPr/>
        <a:lstStyle/>
        <a:p>
          <a:pPr rtl="0">
            <a:defRPr/>
          </a:pPr>
          <a:endParaRPr lang="sk-SK"/>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70"/>
      <c:rAngAx val="0"/>
    </c:view3D>
    <c:floor>
      <c:thickness val="0"/>
    </c:floor>
    <c:sideWall>
      <c:thickness val="0"/>
    </c:sideWall>
    <c:backWall>
      <c:thickness val="0"/>
    </c:backWall>
    <c:plotArea>
      <c:layout>
        <c:manualLayout>
          <c:layoutTarget val="inner"/>
          <c:xMode val="edge"/>
          <c:yMode val="edge"/>
          <c:x val="1.9551933990754996E-2"/>
          <c:y val="4.7981549045513022E-2"/>
          <c:w val="0.56051699897826646"/>
          <c:h val="0.85236446447534453"/>
        </c:manualLayout>
      </c:layout>
      <c:pie3DChart>
        <c:varyColors val="1"/>
        <c:ser>
          <c:idx val="0"/>
          <c:order val="0"/>
          <c:explosion val="25"/>
          <c:dLbls>
            <c:dLbl>
              <c:idx val="3"/>
              <c:layout>
                <c:manualLayout>
                  <c:x val="-3.1628631626339496E-4"/>
                  <c:y val="6.4989860228672328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6.4902071837877148E-2"/>
                  <c:y val="6.0174558677278334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3.8825043376042602E-3"/>
                  <c:y val="6.5785580890614384E-2"/>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2.9926946242787123E-2"/>
                  <c:y val="4.9740969384226133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2.3483788572946602E-2"/>
                  <c:y val="1.5747887329674221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Hárok1!$A$68:$A$77</c:f>
              <c:strCache>
                <c:ptCount val="10"/>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Vysokoškolské bakalárske</c:v>
                </c:pt>
                <c:pt idx="7">
                  <c:v>Vysokoškolské magisterské, inžinierske, doktorské</c:v>
                </c:pt>
                <c:pt idx="8">
                  <c:v>Vysokoškolské doktorandské</c:v>
                </c:pt>
                <c:pt idx="9">
                  <c:v>Bez vzdelania</c:v>
                </c:pt>
              </c:strCache>
            </c:strRef>
          </c:cat>
          <c:val>
            <c:numRef>
              <c:f>Hárok1!$B$68:$B$77</c:f>
              <c:numCache>
                <c:formatCode>General</c:formatCode>
                <c:ptCount val="10"/>
                <c:pt idx="0">
                  <c:v>170</c:v>
                </c:pt>
                <c:pt idx="1">
                  <c:v>150</c:v>
                </c:pt>
                <c:pt idx="2">
                  <c:v>84</c:v>
                </c:pt>
                <c:pt idx="3">
                  <c:v>24</c:v>
                </c:pt>
                <c:pt idx="4">
                  <c:v>140</c:v>
                </c:pt>
                <c:pt idx="5">
                  <c:v>20</c:v>
                </c:pt>
                <c:pt idx="6">
                  <c:v>10</c:v>
                </c:pt>
                <c:pt idx="7">
                  <c:v>30</c:v>
                </c:pt>
                <c:pt idx="8">
                  <c:v>2</c:v>
                </c:pt>
                <c:pt idx="9">
                  <c:v>106</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256901122807933"/>
          <c:y val="3.2193846620628547E-2"/>
          <c:w val="0.36127526505870988"/>
          <c:h val="0.93561230675874318"/>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08678315681436"/>
          <c:y val="5.148397720862237E-2"/>
          <c:w val="0.6117197759880918"/>
          <c:h val="0.4258690536393363"/>
        </c:manualLayout>
      </c:layout>
      <c:barChart>
        <c:barDir val="col"/>
        <c:grouping val="clustered"/>
        <c:varyColors val="0"/>
        <c:ser>
          <c:idx val="0"/>
          <c:order val="0"/>
          <c:tx>
            <c:v>Trvale obývajúce obyvateľstvo v %</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Hárok1!$C$92:$O$92</c:f>
              <c:strCache>
                <c:ptCount val="13"/>
                <c:pt idx="0">
                  <c:v>Pracujúci (okrem dôchodcov)</c:v>
                </c:pt>
                <c:pt idx="1">
                  <c:v>Pracujúci dôchodcovia</c:v>
                </c:pt>
                <c:pt idx="2">
                  <c:v>Osoby na materskej dovolenke</c:v>
                </c:pt>
                <c:pt idx="3">
                  <c:v>Osoby na rodičovskej dovolenke</c:v>
                </c:pt>
                <c:pt idx="4">
                  <c:v>Nezamestnaní</c:v>
                </c:pt>
                <c:pt idx="5">
                  <c:v>Študenti stredných škôl</c:v>
                </c:pt>
                <c:pt idx="6">
                  <c:v>Študenti vysokých škôl</c:v>
                </c:pt>
                <c:pt idx="7">
                  <c:v>Osoby v domácnosti</c:v>
                </c:pt>
                <c:pt idx="8">
                  <c:v>Dôchodcovia</c:v>
                </c:pt>
                <c:pt idx="9">
                  <c:v>Príjemcovia kapitálových príjmov</c:v>
                </c:pt>
                <c:pt idx="10">
                  <c:v>Deti do 16 rokov</c:v>
                </c:pt>
                <c:pt idx="11">
                  <c:v>iná</c:v>
                </c:pt>
                <c:pt idx="12">
                  <c:v>nezistená</c:v>
                </c:pt>
              </c:strCache>
            </c:strRef>
          </c:cat>
          <c:val>
            <c:numRef>
              <c:f>Hárok1!$C$94:$O$94</c:f>
              <c:numCache>
                <c:formatCode>0.0%</c:formatCode>
                <c:ptCount val="13"/>
                <c:pt idx="0">
                  <c:v>0.38391699092088516</c:v>
                </c:pt>
                <c:pt idx="1">
                  <c:v>1.0376134889753566E-2</c:v>
                </c:pt>
                <c:pt idx="2">
                  <c:v>5.1880674448767832E-3</c:v>
                </c:pt>
                <c:pt idx="3">
                  <c:v>2.4643320363164845E-2</c:v>
                </c:pt>
                <c:pt idx="4">
                  <c:v>7.7821011673151752E-2</c:v>
                </c:pt>
                <c:pt idx="5">
                  <c:v>3.5019455252918288E-2</c:v>
                </c:pt>
                <c:pt idx="6">
                  <c:v>1.6861219195849545E-2</c:v>
                </c:pt>
                <c:pt idx="7">
                  <c:v>1.0376134889753566E-2</c:v>
                </c:pt>
                <c:pt idx="8">
                  <c:v>0.26199740596627757</c:v>
                </c:pt>
                <c:pt idx="9">
                  <c:v>0</c:v>
                </c:pt>
                <c:pt idx="10">
                  <c:v>0.13748378728923491</c:v>
                </c:pt>
                <c:pt idx="11">
                  <c:v>3.8910505836575876E-3</c:v>
                </c:pt>
                <c:pt idx="12">
                  <c:v>3.2425421530479899E-2</c:v>
                </c:pt>
              </c:numCache>
            </c:numRef>
          </c:val>
        </c:ser>
        <c:dLbls>
          <c:showLegendKey val="0"/>
          <c:showVal val="1"/>
          <c:showCatName val="0"/>
          <c:showSerName val="0"/>
          <c:showPercent val="0"/>
          <c:showBubbleSize val="0"/>
        </c:dLbls>
        <c:gapWidth val="150"/>
        <c:axId val="468214912"/>
        <c:axId val="468216480"/>
      </c:barChart>
      <c:catAx>
        <c:axId val="468214912"/>
        <c:scaling>
          <c:orientation val="minMax"/>
        </c:scaling>
        <c:delete val="0"/>
        <c:axPos val="b"/>
        <c:numFmt formatCode="General" sourceLinked="0"/>
        <c:majorTickMark val="out"/>
        <c:minorTickMark val="none"/>
        <c:tickLblPos val="nextTo"/>
        <c:crossAx val="468216480"/>
        <c:crosses val="autoZero"/>
        <c:auto val="1"/>
        <c:lblAlgn val="ctr"/>
        <c:lblOffset val="100"/>
        <c:noMultiLvlLbl val="0"/>
      </c:catAx>
      <c:valAx>
        <c:axId val="468216480"/>
        <c:scaling>
          <c:orientation val="minMax"/>
        </c:scaling>
        <c:delete val="0"/>
        <c:axPos val="l"/>
        <c:majorGridlines/>
        <c:numFmt formatCode="0.0%" sourceLinked="1"/>
        <c:majorTickMark val="out"/>
        <c:minorTickMark val="none"/>
        <c:tickLblPos val="nextTo"/>
        <c:crossAx val="468214912"/>
        <c:crosses val="autoZero"/>
        <c:crossBetween val="between"/>
      </c:valAx>
    </c:plotArea>
    <c:legend>
      <c:legendPos val="r"/>
      <c:layout>
        <c:manualLayout>
          <c:xMode val="edge"/>
          <c:yMode val="edge"/>
          <c:x val="0.80683464566929164"/>
          <c:y val="0.33265873927353568"/>
          <c:w val="0.17649868766404256"/>
          <c:h val="0.23729083415101457"/>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2477648255536612E-2"/>
          <c:y val="4.1314541772343574E-2"/>
          <c:w val="0.52975746183103856"/>
          <c:h val="0.80469489343983291"/>
        </c:manualLayout>
      </c:layout>
      <c:pie3DChart>
        <c:varyColors val="1"/>
        <c:ser>
          <c:idx val="0"/>
          <c:order val="0"/>
          <c:explosion val="25"/>
          <c:dLbls>
            <c:numFmt formatCode="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[Cedron.xls]Hárok1!$A$65,[Cedron.xls]Hárok1!$A$74,[Cedron.xls]Hárok1!$A$78:$A$79,[Cedron.xls]Hárok1!$A$82,[Cedron.xls]Hárok1!$A$89,[Cedron.xls]Hárok1!$A$91:$A$92,[Cedron.xls]Hárok1!$A$108,[Cedron.xls]Hárok1!$A$112:$A$113,[Cedron.xls]Hárok1!$A$119:$A$120</c:f>
              <c:strCache>
                <c:ptCount val="13"/>
                <c:pt idx="0">
                  <c:v>Pestovanie plodín a chov zvierat, poľovníctvo a služby s tým súvisiace</c:v>
                </c:pt>
                <c:pt idx="1">
                  <c:v>Výroba chemikálií a chemických produktov</c:v>
                </c:pt>
                <c:pt idx="2">
                  <c:v>Výroba kovových konštrukcií okrem strojov a zariadení</c:v>
                </c:pt>
                <c:pt idx="3">
                  <c:v>Výroba počítačových, elektronických a optických výrobkov</c:v>
                </c:pt>
                <c:pt idx="4">
                  <c:v>Výroba motorových vozidiel, návesov a prívesov</c:v>
                </c:pt>
                <c:pt idx="5">
                  <c:v>Špecializované stavebné práce</c:v>
                </c:pt>
                <c:pt idx="6">
                  <c:v>Veľkoobchod, okrem motorových vozidiel a motocyklov</c:v>
                </c:pt>
                <c:pt idx="7">
                  <c:v>Maloobchod okrem motorových vozidiel a motocyklov</c:v>
                </c:pt>
                <c:pt idx="8">
                  <c:v>Sprostredkovanie práce</c:v>
                </c:pt>
                <c:pt idx="9">
                  <c:v>Verejná správa a obrana; povinné sociálne zabezpečenie</c:v>
                </c:pt>
                <c:pt idx="10">
                  <c:v>Vzdelávanie</c:v>
                </c:pt>
                <c:pt idx="11">
                  <c:v>Nezistené</c:v>
                </c:pt>
                <c:pt idx="12">
                  <c:v>Ostatné</c:v>
                </c:pt>
              </c:strCache>
            </c:strRef>
          </c:cat>
          <c:val>
            <c:numRef>
              <c:f>[Cedron.xls]Hárok1!$B$65,[Cedron.xls]Hárok1!$B$74,[Cedron.xls]Hárok1!$B$78:$B$79,[Cedron.xls]Hárok1!$B$82,[Cedron.xls]Hárok1!$B$89,[Cedron.xls]Hárok1!$B$91:$B$92,[Cedron.xls]Hárok1!$B$108,[Cedron.xls]Hárok1!$B$112:$B$113,[Cedron.xls]Hárok1!$B$119:$B$120</c:f>
              <c:numCache>
                <c:formatCode>#,##0;\-#,##0;"0"</c:formatCode>
                <c:ptCount val="13"/>
                <c:pt idx="0">
                  <c:v>24</c:v>
                </c:pt>
                <c:pt idx="1">
                  <c:v>13</c:v>
                </c:pt>
                <c:pt idx="2">
                  <c:v>13</c:v>
                </c:pt>
                <c:pt idx="3">
                  <c:v>31</c:v>
                </c:pt>
                <c:pt idx="4">
                  <c:v>21</c:v>
                </c:pt>
                <c:pt idx="5">
                  <c:v>20</c:v>
                </c:pt>
                <c:pt idx="6">
                  <c:v>23</c:v>
                </c:pt>
                <c:pt idx="7">
                  <c:v>22</c:v>
                </c:pt>
                <c:pt idx="8">
                  <c:v>13</c:v>
                </c:pt>
                <c:pt idx="9">
                  <c:v>20</c:v>
                </c:pt>
                <c:pt idx="10">
                  <c:v>13</c:v>
                </c:pt>
                <c:pt idx="11">
                  <c:v>29</c:v>
                </c:pt>
                <c:pt idx="12">
                  <c:v>126</c:v>
                </c:pt>
              </c:numCache>
            </c:numRef>
          </c:val>
        </c:ser>
        <c:dLbls>
          <c:showLegendKey val="0"/>
          <c:showVal val="1"/>
          <c:showCatName val="0"/>
          <c:showSerName val="0"/>
          <c:showPercent val="0"/>
          <c:showBubbleSize val="0"/>
          <c:showLeaderLines val="0"/>
        </c:dLbls>
      </c:pie3DChart>
    </c:plotArea>
    <c:legend>
      <c:legendPos val="r"/>
      <c:layout>
        <c:manualLayout>
          <c:xMode val="edge"/>
          <c:yMode val="edge"/>
          <c:x val="0.57766518794732258"/>
          <c:y val="1.5470920713934223E-2"/>
          <c:w val="0.40419184743062414"/>
          <c:h val="0.98032576087367951"/>
        </c:manualLayout>
      </c:layout>
      <c:overlay val="0"/>
      <c:txPr>
        <a:bodyPr/>
        <a:lstStyle/>
        <a:p>
          <a:pPr>
            <a:defRPr sz="800"/>
          </a:pPr>
          <a:endParaRPr lang="sk-SK"/>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8407699037621E-2"/>
          <c:y val="5.1489955766738447E-2"/>
          <c:w val="0.68614851195408755"/>
          <c:h val="0.74794819088407261"/>
        </c:manualLayout>
      </c:layout>
      <c:barChart>
        <c:barDir val="col"/>
        <c:grouping val="clustered"/>
        <c:varyColors val="0"/>
        <c:ser>
          <c:idx val="0"/>
          <c:order val="0"/>
          <c:tx>
            <c:v>Počet nezamestnaných</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Hárok1!$B$97:$K$97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Hárok1!$B$98:$K$98</c:f>
              <c:numCache>
                <c:formatCode>General</c:formatCode>
                <c:ptCount val="10"/>
                <c:pt idx="0">
                  <c:v>49</c:v>
                </c:pt>
                <c:pt idx="1">
                  <c:v>33</c:v>
                </c:pt>
                <c:pt idx="2">
                  <c:v>37</c:v>
                </c:pt>
                <c:pt idx="3">
                  <c:v>27</c:v>
                </c:pt>
                <c:pt idx="4">
                  <c:v>62</c:v>
                </c:pt>
                <c:pt idx="5">
                  <c:v>35</c:v>
                </c:pt>
                <c:pt idx="6">
                  <c:v>47</c:v>
                </c:pt>
                <c:pt idx="7">
                  <c:v>45</c:v>
                </c:pt>
                <c:pt idx="8">
                  <c:v>57</c:v>
                </c:pt>
                <c:pt idx="9">
                  <c:v>46</c:v>
                </c:pt>
              </c:numCache>
            </c:numRef>
          </c:val>
        </c:ser>
        <c:dLbls>
          <c:showLegendKey val="0"/>
          <c:showVal val="1"/>
          <c:showCatName val="0"/>
          <c:showSerName val="0"/>
          <c:showPercent val="0"/>
          <c:showBubbleSize val="0"/>
        </c:dLbls>
        <c:gapWidth val="150"/>
        <c:axId val="468218048"/>
        <c:axId val="468215696"/>
      </c:barChart>
      <c:catAx>
        <c:axId val="468218048"/>
        <c:scaling>
          <c:orientation val="minMax"/>
        </c:scaling>
        <c:delete val="0"/>
        <c:axPos val="b"/>
        <c:numFmt formatCode="General" sourceLinked="1"/>
        <c:majorTickMark val="out"/>
        <c:minorTickMark val="none"/>
        <c:tickLblPos val="nextTo"/>
        <c:crossAx val="468215696"/>
        <c:crosses val="autoZero"/>
        <c:auto val="1"/>
        <c:lblAlgn val="ctr"/>
        <c:lblOffset val="100"/>
        <c:noMultiLvlLbl val="0"/>
      </c:catAx>
      <c:valAx>
        <c:axId val="468215696"/>
        <c:scaling>
          <c:orientation val="minMax"/>
        </c:scaling>
        <c:delete val="0"/>
        <c:axPos val="l"/>
        <c:majorGridlines/>
        <c:numFmt formatCode="General" sourceLinked="1"/>
        <c:majorTickMark val="out"/>
        <c:minorTickMark val="none"/>
        <c:tickLblPos val="nextTo"/>
        <c:crossAx val="468218048"/>
        <c:crosses val="autoZero"/>
        <c:crossBetween val="between"/>
      </c:valAx>
    </c:plotArea>
    <c:legend>
      <c:legendPos val="r"/>
      <c:layout>
        <c:manualLayout>
          <c:xMode val="edge"/>
          <c:yMode val="edge"/>
          <c:x val="0.77978536693885181"/>
          <c:y val="0.45806859898548091"/>
          <c:w val="0.20354792906829391"/>
          <c:h val="0.27864544628925186"/>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21494167686478"/>
          <c:y val="5.1489955766738447E-2"/>
          <c:w val="0.66813296006327094"/>
          <c:h val="0.79787411578210488"/>
        </c:manualLayout>
      </c:layout>
      <c:barChart>
        <c:barDir val="col"/>
        <c:grouping val="clustered"/>
        <c:varyColors val="0"/>
        <c:ser>
          <c:idx val="0"/>
          <c:order val="0"/>
          <c:tx>
            <c:v>Domový a bytový fond</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Hárok1!$B$119:$B$122</c:f>
              <c:strCache>
                <c:ptCount val="4"/>
                <c:pt idx="0">
                  <c:v>Do roku 1945</c:v>
                </c:pt>
                <c:pt idx="1">
                  <c:v>1946-1990</c:v>
                </c:pt>
                <c:pt idx="2">
                  <c:v>1991-2000</c:v>
                </c:pt>
                <c:pt idx="3">
                  <c:v>2000 a neskôr</c:v>
                </c:pt>
              </c:strCache>
            </c:strRef>
          </c:cat>
          <c:val>
            <c:numRef>
              <c:f>Hárok1!$D$119:$D$122</c:f>
              <c:numCache>
                <c:formatCode>0.0%</c:formatCode>
                <c:ptCount val="4"/>
                <c:pt idx="0">
                  <c:v>0.13478260869565217</c:v>
                </c:pt>
                <c:pt idx="1">
                  <c:v>0.82608695652173914</c:v>
                </c:pt>
                <c:pt idx="2">
                  <c:v>8.6956521739130748E-3</c:v>
                </c:pt>
                <c:pt idx="3">
                  <c:v>3.0434782608695692E-2</c:v>
                </c:pt>
              </c:numCache>
            </c:numRef>
          </c:val>
        </c:ser>
        <c:dLbls>
          <c:showLegendKey val="0"/>
          <c:showVal val="1"/>
          <c:showCatName val="0"/>
          <c:showSerName val="0"/>
          <c:showPercent val="0"/>
          <c:showBubbleSize val="0"/>
        </c:dLbls>
        <c:gapWidth val="150"/>
        <c:axId val="13593768"/>
        <c:axId val="13595728"/>
      </c:barChart>
      <c:catAx>
        <c:axId val="13593768"/>
        <c:scaling>
          <c:orientation val="minMax"/>
        </c:scaling>
        <c:delete val="0"/>
        <c:axPos val="b"/>
        <c:numFmt formatCode="General" sourceLinked="0"/>
        <c:majorTickMark val="out"/>
        <c:minorTickMark val="none"/>
        <c:tickLblPos val="nextTo"/>
        <c:crossAx val="13595728"/>
        <c:crosses val="autoZero"/>
        <c:auto val="1"/>
        <c:lblAlgn val="ctr"/>
        <c:lblOffset val="100"/>
        <c:noMultiLvlLbl val="0"/>
      </c:catAx>
      <c:valAx>
        <c:axId val="13595728"/>
        <c:scaling>
          <c:orientation val="minMax"/>
        </c:scaling>
        <c:delete val="0"/>
        <c:axPos val="l"/>
        <c:majorGridlines/>
        <c:numFmt formatCode="0.0%" sourceLinked="1"/>
        <c:majorTickMark val="out"/>
        <c:minorTickMark val="none"/>
        <c:tickLblPos val="nextTo"/>
        <c:crossAx val="13593768"/>
        <c:crosses val="autoZero"/>
        <c:crossBetween val="between"/>
      </c:valAx>
    </c:plotArea>
    <c:legend>
      <c:legendPos val="r"/>
      <c:layout>
        <c:manualLayout>
          <c:xMode val="edge"/>
          <c:yMode val="edge"/>
          <c:x val="0.81335829698464579"/>
          <c:y val="0.45806859898548108"/>
          <c:w val="0.17238780479866278"/>
          <c:h val="0.2925584923078399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2.3502212557506091E-2"/>
                  <c:y val="-4.0281034739653179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4.8961530142807904E-3"/>
                  <c:y val="1.3580900640695099E-2"/>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4.5656314118864318E-2"/>
                  <c:y val="7.7049364462629916E-2"/>
                </c:manualLayout>
              </c:layout>
              <c:showLegendKey val="0"/>
              <c:showVal val="1"/>
              <c:showCatName val="0"/>
              <c:showSerName val="0"/>
              <c:showPercent val="1"/>
              <c:showBubbleSize val="0"/>
              <c:extLst>
                <c:ext xmlns:c15="http://schemas.microsoft.com/office/drawing/2012/chart" uri="{CE6537A1-D6FC-4f65-9D91-7224C49458BB}"/>
              </c:extLst>
            </c:dLbl>
            <c:dLbl>
              <c:idx val="4"/>
              <c:layout>
                <c:manualLayout>
                  <c:x val="-0.10990337232344843"/>
                  <c:y val="0.13823470756111841"/>
                </c:manualLayout>
              </c:layout>
              <c:showLegendKey val="0"/>
              <c:showVal val="1"/>
              <c:showCatName val="0"/>
              <c:showSerName val="0"/>
              <c:showPercent val="1"/>
              <c:showBubbleSize val="0"/>
              <c:extLst>
                <c:ext xmlns:c15="http://schemas.microsoft.com/office/drawing/2012/chart" uri="{CE6537A1-D6FC-4f65-9D91-7224C49458BB}"/>
              </c:extLst>
            </c:dLbl>
            <c:dLbl>
              <c:idx val="6"/>
              <c:layout>
                <c:manualLayout>
                  <c:x val="-2.0260596601371375E-2"/>
                  <c:y val="-1.9955300347282001E-2"/>
                </c:manualLayout>
              </c:layout>
              <c:showLegendKey val="0"/>
              <c:showVal val="1"/>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Hárok1!$A$2:$A$8</c:f>
              <c:strCache>
                <c:ptCount val="7"/>
                <c:pt idx="0">
                  <c:v>Agát</c:v>
                </c:pt>
                <c:pt idx="1">
                  <c:v>Jaseň</c:v>
                </c:pt>
                <c:pt idx="2">
                  <c:v>Javor</c:v>
                </c:pt>
                <c:pt idx="3">
                  <c:v>Ostatné listnaté</c:v>
                </c:pt>
                <c:pt idx="4">
                  <c:v>Topoľ</c:v>
                </c:pt>
                <c:pt idx="5">
                  <c:v>Topoľ šľachtený</c:v>
                </c:pt>
                <c:pt idx="6">
                  <c:v>Vŕba</c:v>
                </c:pt>
              </c:strCache>
            </c:strRef>
          </c:cat>
          <c:val>
            <c:numRef>
              <c:f>Hárok1!$B$2:$B$8</c:f>
              <c:numCache>
                <c:formatCode>General</c:formatCode>
                <c:ptCount val="7"/>
                <c:pt idx="0">
                  <c:v>1.55</c:v>
                </c:pt>
                <c:pt idx="1">
                  <c:v>7.98</c:v>
                </c:pt>
                <c:pt idx="2">
                  <c:v>1.73</c:v>
                </c:pt>
                <c:pt idx="3">
                  <c:v>0.12000000000000002</c:v>
                </c:pt>
                <c:pt idx="4">
                  <c:v>6.0000000000000032E-2</c:v>
                </c:pt>
                <c:pt idx="5">
                  <c:v>14.139999999999999</c:v>
                </c:pt>
                <c:pt idx="6">
                  <c:v>1.82</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31540501881705E-2"/>
          <c:y val="6.5275167965438891E-2"/>
          <c:w val="0.68640690746989963"/>
          <c:h val="0.74375971301554922"/>
        </c:manualLayout>
      </c:layout>
      <c:lineChart>
        <c:grouping val="standard"/>
        <c:varyColors val="0"/>
        <c:ser>
          <c:idx val="0"/>
          <c:order val="0"/>
          <c:tx>
            <c:strRef>
              <c:f>Hárok1!$H$28</c:f>
              <c:strCache>
                <c:ptCount val="1"/>
                <c:pt idx="0">
                  <c:v>Počet obyvateľov k 31.12.</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Hárok1!$I$28:$R$28</c:f>
              <c:numCache>
                <c:formatCode>General</c:formatCode>
                <c:ptCount val="10"/>
                <c:pt idx="0">
                  <c:v>789</c:v>
                </c:pt>
                <c:pt idx="1">
                  <c:v>781</c:v>
                </c:pt>
                <c:pt idx="2">
                  <c:v>775</c:v>
                </c:pt>
                <c:pt idx="3">
                  <c:v>777</c:v>
                </c:pt>
                <c:pt idx="4">
                  <c:v>774</c:v>
                </c:pt>
                <c:pt idx="5">
                  <c:v>777</c:v>
                </c:pt>
                <c:pt idx="6">
                  <c:v>776</c:v>
                </c:pt>
                <c:pt idx="7">
                  <c:v>780</c:v>
                </c:pt>
                <c:pt idx="8">
                  <c:v>783</c:v>
                </c:pt>
                <c:pt idx="9">
                  <c:v>780</c:v>
                </c:pt>
              </c:numCache>
            </c:numRef>
          </c:val>
          <c:smooth val="0"/>
        </c:ser>
        <c:dLbls>
          <c:showLegendKey val="0"/>
          <c:showVal val="1"/>
          <c:showCatName val="0"/>
          <c:showSerName val="0"/>
          <c:showPercent val="0"/>
          <c:showBubbleSize val="0"/>
        </c:dLbls>
        <c:smooth val="0"/>
        <c:axId val="409165096"/>
        <c:axId val="283897864"/>
      </c:lineChart>
      <c:catAx>
        <c:axId val="409165096"/>
        <c:scaling>
          <c:orientation val="minMax"/>
        </c:scaling>
        <c:delete val="0"/>
        <c:axPos val="b"/>
        <c:numFmt formatCode="General" sourceLinked="1"/>
        <c:majorTickMark val="out"/>
        <c:minorTickMark val="none"/>
        <c:tickLblPos val="nextTo"/>
        <c:crossAx val="283897864"/>
        <c:crosses val="autoZero"/>
        <c:auto val="1"/>
        <c:lblAlgn val="ctr"/>
        <c:lblOffset val="100"/>
        <c:noMultiLvlLbl val="0"/>
      </c:catAx>
      <c:valAx>
        <c:axId val="283897864"/>
        <c:scaling>
          <c:orientation val="minMax"/>
        </c:scaling>
        <c:delete val="0"/>
        <c:axPos val="l"/>
        <c:majorGridlines/>
        <c:numFmt formatCode="General" sourceLinked="1"/>
        <c:majorTickMark val="out"/>
        <c:minorTickMark val="none"/>
        <c:tickLblPos val="nextTo"/>
        <c:crossAx val="409165096"/>
        <c:crosses val="autoZero"/>
        <c:crossBetween val="between"/>
      </c:valAx>
    </c:plotArea>
    <c:legend>
      <c:legendPos val="r"/>
      <c:layout>
        <c:manualLayout>
          <c:xMode val="edge"/>
          <c:yMode val="edge"/>
          <c:x val="0.77432751461622862"/>
          <c:y val="0.37041141752970025"/>
          <c:w val="0.20362663000458267"/>
          <c:h val="0.3003323431091928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Hárok1!$H$29</c:f>
              <c:strCache>
                <c:ptCount val="1"/>
                <c:pt idx="0">
                  <c:v>Ženy</c:v>
                </c:pt>
              </c:strCache>
            </c:strRef>
          </c:tx>
          <c:spPr>
            <a:ln w="38100" cap="flat" cmpd="sng" algn="ctr">
              <a:solidFill>
                <a:schemeClr val="accent2"/>
              </a:solidFill>
              <a:prstDash val="solid"/>
            </a:ln>
            <a:effectLst/>
          </c:spPr>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Hárok1!$I$29:$R$29</c:f>
              <c:numCache>
                <c:formatCode>General</c:formatCode>
                <c:ptCount val="10"/>
                <c:pt idx="0">
                  <c:v>388</c:v>
                </c:pt>
                <c:pt idx="1">
                  <c:v>384</c:v>
                </c:pt>
                <c:pt idx="2">
                  <c:v>384</c:v>
                </c:pt>
                <c:pt idx="3">
                  <c:v>387</c:v>
                </c:pt>
                <c:pt idx="4">
                  <c:v>382</c:v>
                </c:pt>
                <c:pt idx="5">
                  <c:v>382</c:v>
                </c:pt>
                <c:pt idx="6">
                  <c:v>383</c:v>
                </c:pt>
                <c:pt idx="7">
                  <c:v>393</c:v>
                </c:pt>
                <c:pt idx="8">
                  <c:v>395</c:v>
                </c:pt>
                <c:pt idx="9">
                  <c:v>393</c:v>
                </c:pt>
              </c:numCache>
            </c:numRef>
          </c:val>
          <c:smooth val="0"/>
        </c:ser>
        <c:ser>
          <c:idx val="1"/>
          <c:order val="1"/>
          <c:tx>
            <c:strRef>
              <c:f>Hárok1!$H$30</c:f>
              <c:strCache>
                <c:ptCount val="1"/>
                <c:pt idx="0">
                  <c:v>Muži</c:v>
                </c:pt>
              </c:strCache>
            </c:strRef>
          </c:tx>
          <c:spPr>
            <a:ln w="38100" cap="flat" cmpd="sng" algn="ctr">
              <a:solidFill>
                <a:schemeClr val="accent5"/>
              </a:solidFill>
              <a:prstDash val="solid"/>
            </a:ln>
            <a:effectLst/>
          </c:spPr>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Hárok1!$I$30:$R$30</c:f>
              <c:numCache>
                <c:formatCode>General</c:formatCode>
                <c:ptCount val="10"/>
                <c:pt idx="0">
                  <c:v>401</c:v>
                </c:pt>
                <c:pt idx="1">
                  <c:v>397</c:v>
                </c:pt>
                <c:pt idx="2">
                  <c:v>391</c:v>
                </c:pt>
                <c:pt idx="3">
                  <c:v>390</c:v>
                </c:pt>
                <c:pt idx="4">
                  <c:v>392</c:v>
                </c:pt>
                <c:pt idx="5">
                  <c:v>395</c:v>
                </c:pt>
                <c:pt idx="6">
                  <c:v>393</c:v>
                </c:pt>
                <c:pt idx="7">
                  <c:v>387</c:v>
                </c:pt>
                <c:pt idx="8">
                  <c:v>388</c:v>
                </c:pt>
                <c:pt idx="9">
                  <c:v>387</c:v>
                </c:pt>
              </c:numCache>
            </c:numRef>
          </c:val>
          <c:smooth val="0"/>
        </c:ser>
        <c:dLbls>
          <c:showLegendKey val="0"/>
          <c:showVal val="0"/>
          <c:showCatName val="0"/>
          <c:showSerName val="0"/>
          <c:showPercent val="0"/>
          <c:showBubbleSize val="0"/>
        </c:dLbls>
        <c:smooth val="0"/>
        <c:axId val="283897472"/>
        <c:axId val="283896688"/>
      </c:lineChart>
      <c:catAx>
        <c:axId val="283897472"/>
        <c:scaling>
          <c:orientation val="minMax"/>
        </c:scaling>
        <c:delete val="0"/>
        <c:axPos val="b"/>
        <c:numFmt formatCode="General" sourceLinked="1"/>
        <c:majorTickMark val="out"/>
        <c:minorTickMark val="none"/>
        <c:tickLblPos val="nextTo"/>
        <c:crossAx val="283896688"/>
        <c:crosses val="autoZero"/>
        <c:auto val="1"/>
        <c:lblAlgn val="ctr"/>
        <c:lblOffset val="100"/>
        <c:noMultiLvlLbl val="0"/>
      </c:catAx>
      <c:valAx>
        <c:axId val="283896688"/>
        <c:scaling>
          <c:orientation val="minMax"/>
        </c:scaling>
        <c:delete val="0"/>
        <c:axPos val="l"/>
        <c:majorGridlines/>
        <c:numFmt formatCode="General" sourceLinked="1"/>
        <c:majorTickMark val="out"/>
        <c:minorTickMark val="none"/>
        <c:tickLblPos val="nextTo"/>
        <c:crossAx val="2838974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Živonarodení</c:v>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Hárok1!$I$31:$R$31</c:f>
              <c:numCache>
                <c:formatCode>General</c:formatCode>
                <c:ptCount val="10"/>
                <c:pt idx="0">
                  <c:v>5</c:v>
                </c:pt>
                <c:pt idx="1">
                  <c:v>6</c:v>
                </c:pt>
                <c:pt idx="2">
                  <c:v>7</c:v>
                </c:pt>
                <c:pt idx="3">
                  <c:v>2</c:v>
                </c:pt>
                <c:pt idx="4">
                  <c:v>5</c:v>
                </c:pt>
                <c:pt idx="5">
                  <c:v>8</c:v>
                </c:pt>
                <c:pt idx="6">
                  <c:v>10</c:v>
                </c:pt>
                <c:pt idx="7">
                  <c:v>14</c:v>
                </c:pt>
                <c:pt idx="8">
                  <c:v>4</c:v>
                </c:pt>
                <c:pt idx="9">
                  <c:v>4</c:v>
                </c:pt>
              </c:numCache>
            </c:numRef>
          </c:val>
          <c:smooth val="0"/>
        </c:ser>
        <c:ser>
          <c:idx val="1"/>
          <c:order val="1"/>
          <c:tx>
            <c:v>Zomrelí</c:v>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Hárok1!$I$32:$R$32</c:f>
              <c:numCache>
                <c:formatCode>General</c:formatCode>
                <c:ptCount val="10"/>
                <c:pt idx="0">
                  <c:v>12</c:v>
                </c:pt>
                <c:pt idx="1">
                  <c:v>13</c:v>
                </c:pt>
                <c:pt idx="2">
                  <c:v>15</c:v>
                </c:pt>
                <c:pt idx="3">
                  <c:v>17</c:v>
                </c:pt>
                <c:pt idx="4">
                  <c:v>8</c:v>
                </c:pt>
                <c:pt idx="5">
                  <c:v>4</c:v>
                </c:pt>
                <c:pt idx="6">
                  <c:v>16</c:v>
                </c:pt>
                <c:pt idx="7">
                  <c:v>11</c:v>
                </c:pt>
                <c:pt idx="8">
                  <c:v>9</c:v>
                </c:pt>
                <c:pt idx="9">
                  <c:v>9</c:v>
                </c:pt>
              </c:numCache>
            </c:numRef>
          </c:val>
          <c:smooth val="0"/>
        </c:ser>
        <c:dLbls>
          <c:showLegendKey val="0"/>
          <c:showVal val="0"/>
          <c:showCatName val="0"/>
          <c:showSerName val="0"/>
          <c:showPercent val="0"/>
          <c:showBubbleSize val="0"/>
        </c:dLbls>
        <c:smooth val="0"/>
        <c:axId val="283899432"/>
        <c:axId val="283899040"/>
      </c:lineChart>
      <c:catAx>
        <c:axId val="283899432"/>
        <c:scaling>
          <c:orientation val="minMax"/>
        </c:scaling>
        <c:delete val="0"/>
        <c:axPos val="b"/>
        <c:numFmt formatCode="General" sourceLinked="1"/>
        <c:majorTickMark val="out"/>
        <c:minorTickMark val="none"/>
        <c:tickLblPos val="nextTo"/>
        <c:crossAx val="283899040"/>
        <c:crosses val="autoZero"/>
        <c:auto val="1"/>
        <c:lblAlgn val="ctr"/>
        <c:lblOffset val="100"/>
        <c:noMultiLvlLbl val="0"/>
      </c:catAx>
      <c:valAx>
        <c:axId val="283899040"/>
        <c:scaling>
          <c:orientation val="minMax"/>
        </c:scaling>
        <c:delete val="0"/>
        <c:axPos val="l"/>
        <c:majorGridlines/>
        <c:numFmt formatCode="General" sourceLinked="1"/>
        <c:majorTickMark val="out"/>
        <c:minorTickMark val="none"/>
        <c:tickLblPos val="nextTo"/>
        <c:crossAx val="2838994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Hárok1!$H$34</c:f>
              <c:strCache>
                <c:ptCount val="1"/>
                <c:pt idx="0">
                  <c:v>prisťahovaní</c:v>
                </c:pt>
              </c:strCache>
            </c:strRef>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Hárok1!$I$34:$R$34</c:f>
              <c:numCache>
                <c:formatCode>General</c:formatCode>
                <c:ptCount val="10"/>
                <c:pt idx="0">
                  <c:v>24</c:v>
                </c:pt>
                <c:pt idx="1">
                  <c:v>13</c:v>
                </c:pt>
                <c:pt idx="2">
                  <c:v>9</c:v>
                </c:pt>
                <c:pt idx="3">
                  <c:v>31</c:v>
                </c:pt>
                <c:pt idx="4">
                  <c:v>10</c:v>
                </c:pt>
                <c:pt idx="5">
                  <c:v>8</c:v>
                </c:pt>
                <c:pt idx="6">
                  <c:v>14</c:v>
                </c:pt>
                <c:pt idx="7">
                  <c:v>5</c:v>
                </c:pt>
                <c:pt idx="8">
                  <c:v>15</c:v>
                </c:pt>
                <c:pt idx="9">
                  <c:v>20</c:v>
                </c:pt>
              </c:numCache>
            </c:numRef>
          </c:val>
          <c:smooth val="0"/>
        </c:ser>
        <c:ser>
          <c:idx val="1"/>
          <c:order val="1"/>
          <c:tx>
            <c:strRef>
              <c:f>Hárok1!$H$35</c:f>
              <c:strCache>
                <c:ptCount val="1"/>
                <c:pt idx="0">
                  <c:v>vysťahovaní</c:v>
                </c:pt>
              </c:strCache>
            </c:strRef>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Hárok1!$I$35:$R$35</c:f>
              <c:numCache>
                <c:formatCode>General</c:formatCode>
                <c:ptCount val="10"/>
                <c:pt idx="0">
                  <c:v>12</c:v>
                </c:pt>
                <c:pt idx="1">
                  <c:v>14</c:v>
                </c:pt>
                <c:pt idx="2">
                  <c:v>7</c:v>
                </c:pt>
                <c:pt idx="3">
                  <c:v>14</c:v>
                </c:pt>
                <c:pt idx="4">
                  <c:v>10</c:v>
                </c:pt>
                <c:pt idx="5">
                  <c:v>9</c:v>
                </c:pt>
                <c:pt idx="6">
                  <c:v>7</c:v>
                </c:pt>
                <c:pt idx="7">
                  <c:v>4</c:v>
                </c:pt>
                <c:pt idx="8">
                  <c:v>7</c:v>
                </c:pt>
                <c:pt idx="9">
                  <c:v>15</c:v>
                </c:pt>
              </c:numCache>
            </c:numRef>
          </c:val>
          <c:smooth val="0"/>
        </c:ser>
        <c:dLbls>
          <c:showLegendKey val="0"/>
          <c:showVal val="0"/>
          <c:showCatName val="0"/>
          <c:showSerName val="0"/>
          <c:showPercent val="0"/>
          <c:showBubbleSize val="0"/>
        </c:dLbls>
        <c:smooth val="0"/>
        <c:axId val="283897080"/>
        <c:axId val="412631248"/>
      </c:lineChart>
      <c:catAx>
        <c:axId val="283897080"/>
        <c:scaling>
          <c:orientation val="minMax"/>
        </c:scaling>
        <c:delete val="0"/>
        <c:axPos val="b"/>
        <c:numFmt formatCode="General" sourceLinked="1"/>
        <c:majorTickMark val="out"/>
        <c:minorTickMark val="none"/>
        <c:tickLblPos val="nextTo"/>
        <c:crossAx val="412631248"/>
        <c:crosses val="autoZero"/>
        <c:auto val="1"/>
        <c:lblAlgn val="ctr"/>
        <c:lblOffset val="100"/>
        <c:noMultiLvlLbl val="0"/>
      </c:catAx>
      <c:valAx>
        <c:axId val="412631248"/>
        <c:scaling>
          <c:orientation val="minMax"/>
        </c:scaling>
        <c:delete val="0"/>
        <c:axPos val="l"/>
        <c:majorGridlines/>
        <c:numFmt formatCode="General" sourceLinked="1"/>
        <c:majorTickMark val="out"/>
        <c:minorTickMark val="none"/>
        <c:tickLblPos val="nextTo"/>
        <c:crossAx val="2838970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Hárok1!$H$33</c:f>
              <c:strCache>
                <c:ptCount val="1"/>
                <c:pt idx="0">
                  <c:v>Demografické saldo</c:v>
                </c:pt>
              </c:strCache>
            </c:strRef>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Hárok1!$I$33:$R$33</c:f>
              <c:numCache>
                <c:formatCode>General</c:formatCode>
                <c:ptCount val="10"/>
                <c:pt idx="0">
                  <c:v>-7</c:v>
                </c:pt>
                <c:pt idx="1">
                  <c:v>-7</c:v>
                </c:pt>
                <c:pt idx="2">
                  <c:v>-8</c:v>
                </c:pt>
                <c:pt idx="3">
                  <c:v>-15</c:v>
                </c:pt>
                <c:pt idx="4">
                  <c:v>-3</c:v>
                </c:pt>
                <c:pt idx="5">
                  <c:v>4</c:v>
                </c:pt>
                <c:pt idx="6">
                  <c:v>-6</c:v>
                </c:pt>
                <c:pt idx="7">
                  <c:v>3</c:v>
                </c:pt>
                <c:pt idx="8">
                  <c:v>-5</c:v>
                </c:pt>
                <c:pt idx="9">
                  <c:v>-5</c:v>
                </c:pt>
              </c:numCache>
            </c:numRef>
          </c:val>
          <c:smooth val="0"/>
        </c:ser>
        <c:ser>
          <c:idx val="1"/>
          <c:order val="1"/>
          <c:tx>
            <c:v>Migračné saldo</c:v>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Hárok1!$I$36:$R$36</c:f>
              <c:numCache>
                <c:formatCode>General</c:formatCode>
                <c:ptCount val="10"/>
                <c:pt idx="0">
                  <c:v>12</c:v>
                </c:pt>
                <c:pt idx="1">
                  <c:v>-1</c:v>
                </c:pt>
                <c:pt idx="2">
                  <c:v>2</c:v>
                </c:pt>
                <c:pt idx="3">
                  <c:v>17</c:v>
                </c:pt>
                <c:pt idx="4">
                  <c:v>0</c:v>
                </c:pt>
                <c:pt idx="5">
                  <c:v>-1</c:v>
                </c:pt>
                <c:pt idx="6">
                  <c:v>7</c:v>
                </c:pt>
                <c:pt idx="7">
                  <c:v>1</c:v>
                </c:pt>
                <c:pt idx="8">
                  <c:v>8</c:v>
                </c:pt>
                <c:pt idx="9">
                  <c:v>5</c:v>
                </c:pt>
              </c:numCache>
            </c:numRef>
          </c:val>
          <c:smooth val="0"/>
        </c:ser>
        <c:ser>
          <c:idx val="2"/>
          <c:order val="2"/>
          <c:tx>
            <c:v>Celkový prírastok/úbytok</c:v>
          </c:tx>
          <c:marker>
            <c:symbol val="none"/>
          </c:marker>
          <c:cat>
            <c:numRef>
              <c:f>Hárok1!$I$27:$R$27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Hárok1!$I$37:$R$37</c:f>
              <c:numCache>
                <c:formatCode>General</c:formatCode>
                <c:ptCount val="10"/>
                <c:pt idx="0">
                  <c:v>5</c:v>
                </c:pt>
                <c:pt idx="1">
                  <c:v>-8</c:v>
                </c:pt>
                <c:pt idx="2">
                  <c:v>-6</c:v>
                </c:pt>
                <c:pt idx="3">
                  <c:v>2</c:v>
                </c:pt>
                <c:pt idx="4">
                  <c:v>-3</c:v>
                </c:pt>
                <c:pt idx="5">
                  <c:v>3</c:v>
                </c:pt>
                <c:pt idx="6">
                  <c:v>1</c:v>
                </c:pt>
                <c:pt idx="7">
                  <c:v>4</c:v>
                </c:pt>
                <c:pt idx="8">
                  <c:v>3</c:v>
                </c:pt>
                <c:pt idx="9">
                  <c:v>0</c:v>
                </c:pt>
              </c:numCache>
            </c:numRef>
          </c:val>
          <c:smooth val="0"/>
        </c:ser>
        <c:dLbls>
          <c:showLegendKey val="0"/>
          <c:showVal val="0"/>
          <c:showCatName val="0"/>
          <c:showSerName val="0"/>
          <c:showPercent val="0"/>
          <c:showBubbleSize val="0"/>
        </c:dLbls>
        <c:smooth val="0"/>
        <c:axId val="412632424"/>
        <c:axId val="412630856"/>
      </c:lineChart>
      <c:catAx>
        <c:axId val="412632424"/>
        <c:scaling>
          <c:orientation val="minMax"/>
        </c:scaling>
        <c:delete val="0"/>
        <c:axPos val="b"/>
        <c:numFmt formatCode="General" sourceLinked="1"/>
        <c:majorTickMark val="out"/>
        <c:minorTickMark val="none"/>
        <c:tickLblPos val="nextTo"/>
        <c:crossAx val="412630856"/>
        <c:crosses val="autoZero"/>
        <c:auto val="1"/>
        <c:lblAlgn val="ctr"/>
        <c:lblOffset val="100"/>
        <c:noMultiLvlLbl val="0"/>
      </c:catAx>
      <c:valAx>
        <c:axId val="412630856"/>
        <c:scaling>
          <c:orientation val="minMax"/>
        </c:scaling>
        <c:delete val="0"/>
        <c:axPos val="l"/>
        <c:majorGridlines/>
        <c:numFmt formatCode="General" sourceLinked="1"/>
        <c:majorTickMark val="out"/>
        <c:minorTickMark val="none"/>
        <c:tickLblPos val="nextTo"/>
        <c:crossAx val="4126324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00"/>
      <c:rAngAx val="0"/>
    </c:view3D>
    <c:floor>
      <c:thickness val="0"/>
    </c:floor>
    <c:sideWall>
      <c:thickness val="0"/>
    </c:sideWall>
    <c:backWall>
      <c:thickness val="0"/>
    </c:backWall>
    <c:plotArea>
      <c:layout>
        <c:manualLayout>
          <c:layoutTarget val="inner"/>
          <c:xMode val="edge"/>
          <c:yMode val="edge"/>
          <c:x val="3.6111111111111212E-2"/>
          <c:y val="0.11594205015488761"/>
          <c:w val="0.50920467810358105"/>
          <c:h val="0.78202894570881132"/>
        </c:manualLayout>
      </c:layout>
      <c:pie3DChart>
        <c:varyColors val="1"/>
        <c:ser>
          <c:idx val="0"/>
          <c:order val="0"/>
          <c:explosion val="25"/>
          <c:dLbls>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'[Grafy a tabuľka Jatov.xlsx]Hárok1'!$H$54,'[Grafy a tabuľka Jatov.xlsx]Hárok1'!$H$56:$H$58,'[Grafy a tabuľka Jatov.xlsx]Hárok1'!$H$62:$H$64</c:f>
              <c:strCache>
                <c:ptCount val="7"/>
                <c:pt idx="0">
                  <c:v>Rímskokatolícka cirkev</c:v>
                </c:pt>
                <c:pt idx="1">
                  <c:v>Bratská jednota baptistov</c:v>
                </c:pt>
                <c:pt idx="2">
                  <c:v>Evanjelická cirkev augsburského vyznania</c:v>
                </c:pt>
                <c:pt idx="3">
                  <c:v>Reformovaná kresťanská cirkev</c:v>
                </c:pt>
                <c:pt idx="4">
                  <c:v>Ostatné</c:v>
                </c:pt>
                <c:pt idx="5">
                  <c:v>Bez vyznania</c:v>
                </c:pt>
                <c:pt idx="6">
                  <c:v>Nezistené</c:v>
                </c:pt>
              </c:strCache>
            </c:strRef>
          </c:cat>
          <c:val>
            <c:numRef>
              <c:f>'[Grafy a tabuľka Jatov.xlsx]Hárok1'!$I$54,'[Grafy a tabuľka Jatov.xlsx]Hárok1'!$I$56:$I$58,'[Grafy a tabuľka Jatov.xlsx]Hárok1'!$I$62:$I$64</c:f>
              <c:numCache>
                <c:formatCode>General</c:formatCode>
                <c:ptCount val="7"/>
                <c:pt idx="0">
                  <c:v>568</c:v>
                </c:pt>
                <c:pt idx="1">
                  <c:v>1</c:v>
                </c:pt>
                <c:pt idx="2">
                  <c:v>11</c:v>
                </c:pt>
                <c:pt idx="3">
                  <c:v>1</c:v>
                </c:pt>
                <c:pt idx="4">
                  <c:v>2</c:v>
                </c:pt>
                <c:pt idx="5">
                  <c:v>101</c:v>
                </c:pt>
                <c:pt idx="6">
                  <c:v>87</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65421829673753862"/>
          <c:y val="8.0301281351369408E-2"/>
          <c:w val="0.33372897494867676"/>
          <c:h val="0.83939707212545234"/>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50"/>
      <c:rAngAx val="0"/>
    </c:view3D>
    <c:floor>
      <c:thickness val="0"/>
    </c:floor>
    <c:sideWall>
      <c:thickness val="0"/>
    </c:sideWall>
    <c:backWall>
      <c:thickness val="0"/>
    </c:backWall>
    <c:plotArea>
      <c:layout/>
      <c:pie3DChart>
        <c:varyColors val="1"/>
        <c:ser>
          <c:idx val="0"/>
          <c:order val="0"/>
          <c:explosion val="25"/>
          <c:dLbls>
            <c:dLbl>
              <c:idx val="1"/>
              <c:layout>
                <c:manualLayout>
                  <c:x val="4.9334098862642506E-2"/>
                  <c:y val="-4.880995984205589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2196402012248472"/>
                  <c:y val="-1.0111607460752247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9.0670056867891508E-2"/>
                  <c:y val="9.5270404248847057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5.3807086614173313E-2"/>
                  <c:y val="9.1169889977384927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'[Grafy a tabuľka Jatov.xlsx]Hárok1'!$X$54:$Y$54,'[Grafy a tabuľka Jatov.xlsx]Hárok1'!$AA$54,'[Grafy a tabuľka Jatov.xlsx]Hárok1'!$AD$54,'[Grafy a tabuľka Jatov.xlsx]Hárok1'!$AG$54</c:f>
              <c:strCache>
                <c:ptCount val="5"/>
                <c:pt idx="0">
                  <c:v>Slov</c:v>
                </c:pt>
                <c:pt idx="1">
                  <c:v>Maď</c:v>
                </c:pt>
                <c:pt idx="2">
                  <c:v>Čes</c:v>
                </c:pt>
                <c:pt idx="3">
                  <c:v>Ukraj</c:v>
                </c:pt>
                <c:pt idx="4">
                  <c:v>Chorv</c:v>
                </c:pt>
              </c:strCache>
            </c:strRef>
          </c:cat>
          <c:val>
            <c:numRef>
              <c:f>'[Grafy a tabuľka Jatov.xlsx]Hárok1'!$X$55:$Y$55,'[Grafy a tabuľka Jatov.xlsx]Hárok1'!$AA$55,'[Grafy a tabuľka Jatov.xlsx]Hárok1'!$AD$55,'[Grafy a tabuľka Jatov.xlsx]Hárok1'!$AG$55</c:f>
              <c:numCache>
                <c:formatCode>General</c:formatCode>
                <c:ptCount val="5"/>
                <c:pt idx="0">
                  <c:v>700</c:v>
                </c:pt>
                <c:pt idx="1">
                  <c:v>27</c:v>
                </c:pt>
                <c:pt idx="2">
                  <c:v>3</c:v>
                </c:pt>
                <c:pt idx="3">
                  <c:v>1</c:v>
                </c:pt>
                <c:pt idx="4">
                  <c:v>1</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2313-D798-4629-8FBE-12C7D535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7886</Words>
  <Characters>44956</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Lőrinczová</dc:creator>
  <cp:lastModifiedBy>KOŠTIALOVÁ Jarmila</cp:lastModifiedBy>
  <cp:revision>4</cp:revision>
  <dcterms:created xsi:type="dcterms:W3CDTF">2015-12-03T15:47:00Z</dcterms:created>
  <dcterms:modified xsi:type="dcterms:W3CDTF">2015-12-04T07:39:00Z</dcterms:modified>
</cp:coreProperties>
</file>